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B9D" w:rsidRPr="00EC320B" w:rsidRDefault="00101F95" w:rsidP="00066414">
      <w:pPr>
        <w:pBdr>
          <w:bottom w:val="double" w:sz="6" w:space="1" w:color="auto"/>
        </w:pBdr>
        <w:jc w:val="center"/>
        <w:rPr>
          <w:rFonts w:asciiTheme="majorBidi" w:hAnsiTheme="majorBidi" w:cstheme="majorBidi"/>
          <w:b/>
          <w:bCs/>
          <w:sz w:val="40"/>
        </w:rPr>
      </w:pPr>
      <w:r>
        <w:rPr>
          <w:rFonts w:asciiTheme="majorBidi" w:hAnsiTheme="majorBidi" w:cstheme="majorBidi"/>
          <w:b/>
          <w:bCs/>
          <w:sz w:val="40"/>
        </w:rPr>
        <w:t xml:space="preserve">Biological Drug Therapy in Rheumatology </w:t>
      </w:r>
      <w:r w:rsidR="00066414">
        <w:rPr>
          <w:rFonts w:asciiTheme="majorBidi" w:hAnsiTheme="majorBidi" w:cstheme="majorBidi"/>
          <w:b/>
          <w:bCs/>
          <w:sz w:val="40"/>
        </w:rPr>
        <w:t>©</w:t>
      </w:r>
    </w:p>
    <w:p w:rsidR="00101F95" w:rsidRPr="00101F95" w:rsidRDefault="00101F95" w:rsidP="00066414">
      <w:pPr>
        <w:pBdr>
          <w:top w:val="single" w:sz="12" w:space="1" w:color="auto" w:shadow="1"/>
          <w:left w:val="single" w:sz="12" w:space="4" w:color="auto" w:shadow="1"/>
          <w:bottom w:val="single" w:sz="12" w:space="1" w:color="auto" w:shadow="1"/>
          <w:right w:val="single" w:sz="12" w:space="4" w:color="auto" w:shadow="1"/>
        </w:pBdr>
        <w:shd w:val="clear" w:color="auto" w:fill="A6A6A6" w:themeFill="background1" w:themeFillShade="A6"/>
        <w:jc w:val="center"/>
        <w:rPr>
          <w:rFonts w:asciiTheme="majorBidi" w:hAnsiTheme="majorBidi" w:cstheme="majorBidi"/>
          <w:b/>
          <w:bCs/>
          <w:sz w:val="28"/>
          <w:szCs w:val="36"/>
        </w:rPr>
      </w:pPr>
      <w:r>
        <w:rPr>
          <w:rFonts w:asciiTheme="majorBidi" w:hAnsiTheme="majorBidi" w:cstheme="majorBidi"/>
          <w:b/>
          <w:bCs/>
          <w:sz w:val="28"/>
          <w:szCs w:val="36"/>
        </w:rPr>
        <w:t xml:space="preserve">ANTI-TUMOUR NECROSIS FACTOR ALPHA (ANTI-TNF-α) </w:t>
      </w:r>
      <w:r w:rsidR="00066414">
        <w:rPr>
          <w:rFonts w:asciiTheme="majorBidi" w:hAnsiTheme="majorBidi" w:cstheme="majorBidi"/>
          <w:b/>
          <w:bCs/>
          <w:sz w:val="28"/>
          <w:szCs w:val="36"/>
        </w:rPr>
        <w:t>©</w:t>
      </w:r>
    </w:p>
    <w:p w:rsidR="00101F95" w:rsidRPr="000B6801" w:rsidRDefault="00101F95" w:rsidP="00101F95">
      <w:pPr>
        <w:pStyle w:val="a6"/>
        <w:numPr>
          <w:ilvl w:val="0"/>
          <w:numId w:val="2"/>
        </w:numPr>
        <w:jc w:val="both"/>
        <w:rPr>
          <w:rFonts w:asciiTheme="majorBidi" w:hAnsiTheme="majorBidi" w:cstheme="majorBidi"/>
          <w:b/>
          <w:bCs/>
          <w:sz w:val="28"/>
          <w:szCs w:val="36"/>
        </w:rPr>
      </w:pPr>
      <w:bookmarkStart w:id="0" w:name="2730625"/>
      <w:bookmarkEnd w:id="0"/>
      <w:r w:rsidRPr="000B6801">
        <w:rPr>
          <w:rFonts w:asciiTheme="majorBidi" w:hAnsiTheme="majorBidi" w:cstheme="majorBidi"/>
          <w:b/>
          <w:bCs/>
          <w:sz w:val="28"/>
          <w:szCs w:val="36"/>
        </w:rPr>
        <w:t>FDA Approved Medications</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Etanercept (Enbrel)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Infliximab (Remicade) </w:t>
      </w:r>
    </w:p>
    <w:p w:rsidR="00101F95"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Adalimumab (Humira)</w:t>
      </w:r>
    </w:p>
    <w:p w:rsidR="00101F95" w:rsidRPr="000B6801" w:rsidRDefault="00101F95" w:rsidP="00101F95">
      <w:pPr>
        <w:pStyle w:val="a6"/>
        <w:numPr>
          <w:ilvl w:val="0"/>
          <w:numId w:val="2"/>
        </w:numPr>
        <w:jc w:val="both"/>
        <w:rPr>
          <w:rFonts w:asciiTheme="majorBidi" w:hAnsiTheme="majorBidi" w:cstheme="majorBidi"/>
          <w:b/>
          <w:bCs/>
          <w:sz w:val="28"/>
          <w:szCs w:val="36"/>
        </w:rPr>
      </w:pPr>
      <w:r>
        <w:rPr>
          <w:rFonts w:asciiTheme="majorBidi" w:hAnsiTheme="majorBidi" w:cstheme="majorBidi"/>
          <w:b/>
          <w:bCs/>
          <w:sz w:val="28"/>
          <w:szCs w:val="36"/>
        </w:rPr>
        <w:t>Other new (not yet approved) medications</w:t>
      </w:r>
      <w:r w:rsidR="002E686B">
        <w:rPr>
          <w:rFonts w:asciiTheme="majorBidi" w:hAnsiTheme="majorBidi" w:cstheme="majorBidi"/>
          <w:b/>
          <w:bCs/>
          <w:sz w:val="28"/>
          <w:szCs w:val="36"/>
        </w:rPr>
        <w:t xml:space="preserve"> </w:t>
      </w:r>
      <w:r w:rsidR="002E686B">
        <w:rPr>
          <w:rFonts w:asciiTheme="majorBidi" w:hAnsiTheme="majorBidi" w:cstheme="majorBidi"/>
          <w:b/>
          <w:bCs/>
          <w:sz w:val="28"/>
          <w:szCs w:val="36"/>
        </w:rPr>
        <w:sym w:font="Wingdings" w:char="F0FE"/>
      </w:r>
      <w:r>
        <w:rPr>
          <w:rFonts w:asciiTheme="majorBidi" w:hAnsiTheme="majorBidi" w:cstheme="majorBidi"/>
          <w:b/>
          <w:bCs/>
          <w:sz w:val="28"/>
          <w:szCs w:val="36"/>
        </w:rPr>
        <w:t>:</w:t>
      </w:r>
    </w:p>
    <w:p w:rsidR="00101F95" w:rsidRDefault="00101F95" w:rsidP="00101F95">
      <w:pPr>
        <w:pStyle w:val="a6"/>
        <w:numPr>
          <w:ilvl w:val="0"/>
          <w:numId w:val="20"/>
        </w:numPr>
        <w:jc w:val="both"/>
        <w:rPr>
          <w:rFonts w:asciiTheme="majorBidi" w:hAnsiTheme="majorBidi" w:cstheme="majorBidi"/>
          <w:sz w:val="24"/>
          <w:szCs w:val="36"/>
        </w:rPr>
      </w:pPr>
      <w:r>
        <w:rPr>
          <w:rFonts w:asciiTheme="majorBidi" w:hAnsiTheme="majorBidi" w:cstheme="majorBidi"/>
          <w:sz w:val="24"/>
          <w:szCs w:val="36"/>
        </w:rPr>
        <w:t>Cimzia.</w:t>
      </w:r>
    </w:p>
    <w:p w:rsidR="00101F95" w:rsidRDefault="00F150D3" w:rsidP="00F150D3">
      <w:pPr>
        <w:pStyle w:val="a6"/>
        <w:numPr>
          <w:ilvl w:val="0"/>
          <w:numId w:val="20"/>
        </w:numPr>
        <w:jc w:val="both"/>
        <w:rPr>
          <w:rFonts w:asciiTheme="majorBidi" w:hAnsiTheme="majorBidi" w:cstheme="majorBidi"/>
          <w:sz w:val="24"/>
          <w:szCs w:val="36"/>
        </w:rPr>
      </w:pPr>
      <w:r>
        <w:rPr>
          <w:rFonts w:asciiTheme="majorBidi" w:hAnsiTheme="majorBidi" w:cstheme="majorBidi"/>
          <w:sz w:val="24"/>
          <w:szCs w:val="36"/>
        </w:rPr>
        <w:t>Golimumab.</w:t>
      </w:r>
    </w:p>
    <w:p w:rsidR="006A7C02" w:rsidRPr="006A7C02" w:rsidRDefault="006A7C02" w:rsidP="006A7C02">
      <w:pPr>
        <w:pStyle w:val="a6"/>
        <w:numPr>
          <w:ilvl w:val="0"/>
          <w:numId w:val="25"/>
        </w:numPr>
        <w:jc w:val="both"/>
        <w:rPr>
          <w:rFonts w:asciiTheme="majorBidi" w:hAnsiTheme="majorBidi" w:cstheme="majorBidi"/>
          <w:b/>
          <w:bCs/>
          <w:i/>
          <w:iCs/>
          <w:sz w:val="24"/>
          <w:szCs w:val="36"/>
        </w:rPr>
      </w:pPr>
      <w:r>
        <w:rPr>
          <w:rFonts w:asciiTheme="majorBidi" w:hAnsiTheme="majorBidi" w:cstheme="majorBidi"/>
          <w:b/>
          <w:bCs/>
          <w:i/>
          <w:iCs/>
          <w:sz w:val="24"/>
          <w:szCs w:val="36"/>
        </w:rPr>
        <w:t>Both drugs have the advantage of less frequent SC injection needed.</w:t>
      </w:r>
    </w:p>
    <w:p w:rsidR="00101F95" w:rsidRPr="000B6801" w:rsidRDefault="00101F95" w:rsidP="00101F95">
      <w:pPr>
        <w:pStyle w:val="a6"/>
        <w:numPr>
          <w:ilvl w:val="0"/>
          <w:numId w:val="2"/>
        </w:numPr>
        <w:jc w:val="both"/>
        <w:rPr>
          <w:rFonts w:asciiTheme="majorBidi" w:hAnsiTheme="majorBidi" w:cstheme="majorBidi"/>
          <w:b/>
          <w:bCs/>
          <w:sz w:val="28"/>
          <w:szCs w:val="36"/>
        </w:rPr>
      </w:pPr>
      <w:bookmarkStart w:id="1" w:name="2730626"/>
      <w:bookmarkEnd w:id="1"/>
      <w:r w:rsidRPr="000B6801">
        <w:rPr>
          <w:rFonts w:asciiTheme="majorBidi" w:hAnsiTheme="majorBidi" w:cstheme="majorBidi"/>
          <w:b/>
          <w:bCs/>
          <w:sz w:val="28"/>
          <w:szCs w:val="36"/>
        </w:rPr>
        <w:t>Structure</w:t>
      </w:r>
    </w:p>
    <w:p w:rsidR="00A94DAB" w:rsidRPr="00A94DAB" w:rsidRDefault="00101F95" w:rsidP="00686704">
      <w:pPr>
        <w:pStyle w:val="a6"/>
        <w:numPr>
          <w:ilvl w:val="0"/>
          <w:numId w:val="20"/>
        </w:numPr>
        <w:jc w:val="both"/>
        <w:rPr>
          <w:rFonts w:asciiTheme="majorBidi" w:hAnsiTheme="majorBidi" w:cstheme="majorBidi"/>
          <w:sz w:val="24"/>
          <w:szCs w:val="36"/>
        </w:rPr>
      </w:pPr>
      <w:r w:rsidRPr="00A94DAB">
        <w:rPr>
          <w:rFonts w:asciiTheme="majorBidi" w:hAnsiTheme="majorBidi" w:cstheme="majorBidi"/>
          <w:sz w:val="24"/>
          <w:szCs w:val="36"/>
        </w:rPr>
        <w:t>Etanercept is a recombinant, dimeric fusion protein consisting of the soluble human p75 TNF receptor coupled to the Fc fragment of human IgG1 lacking the CH1 domain</w:t>
      </w:r>
      <w:r w:rsidR="00686704">
        <w:rPr>
          <w:rFonts w:asciiTheme="majorBidi" w:hAnsiTheme="majorBidi" w:cstheme="majorBidi"/>
          <w:sz w:val="24"/>
          <w:szCs w:val="36"/>
        </w:rPr>
        <w:t xml:space="preserve"> ©</w:t>
      </w:r>
      <w:r w:rsidRPr="00A94DAB">
        <w:rPr>
          <w:rFonts w:asciiTheme="majorBidi" w:hAnsiTheme="majorBidi" w:cstheme="majorBidi"/>
          <w:sz w:val="24"/>
          <w:szCs w:val="36"/>
        </w:rPr>
        <w:t xml:space="preserve">. </w:t>
      </w:r>
      <w:r w:rsidR="00A94DAB" w:rsidRPr="00A94DAB">
        <w:rPr>
          <w:rFonts w:asciiTheme="majorBidi" w:hAnsiTheme="majorBidi" w:cstheme="majorBidi"/>
          <w:sz w:val="24"/>
          <w:szCs w:val="36"/>
        </w:rPr>
        <w:t>It binds soluble form of TNFα</w:t>
      </w:r>
      <w:r w:rsidR="00686704">
        <w:rPr>
          <w:rFonts w:asciiTheme="majorBidi" w:hAnsiTheme="majorBidi" w:cstheme="majorBidi"/>
          <w:sz w:val="24"/>
          <w:szCs w:val="36"/>
        </w:rPr>
        <w:t xml:space="preserve"> </w:t>
      </w:r>
      <w:r w:rsidR="00686704">
        <w:rPr>
          <w:rFonts w:asciiTheme="majorBidi" w:hAnsiTheme="majorBidi" w:cstheme="majorBidi"/>
          <w:sz w:val="24"/>
          <w:szCs w:val="36"/>
        </w:rPr>
        <w:sym w:font="Wingdings" w:char="F0FE"/>
      </w:r>
      <w:r w:rsidR="00A94DAB" w:rsidRPr="00A94DAB">
        <w:rPr>
          <w:rFonts w:asciiTheme="majorBidi" w:hAnsiTheme="majorBidi" w:cstheme="majorBidi"/>
          <w:sz w:val="24"/>
          <w:szCs w:val="36"/>
        </w:rPr>
        <w:t>.</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Infliximab is a "humanized" monoclonal antibody in which the antigen-binding regions of a mouse anti-TNF monoclonal antibody have been placed in the framework of a human IgG1 kappa antibody.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Adalimumab is a recombinant, fully human monoclonal IgG1 kappa antibody.</w:t>
      </w:r>
    </w:p>
    <w:p w:rsidR="00101F95" w:rsidRPr="000B6801" w:rsidRDefault="00101F95" w:rsidP="00101F95">
      <w:pPr>
        <w:pStyle w:val="a6"/>
        <w:numPr>
          <w:ilvl w:val="0"/>
          <w:numId w:val="2"/>
        </w:numPr>
        <w:jc w:val="both"/>
        <w:rPr>
          <w:rFonts w:asciiTheme="majorBidi" w:hAnsiTheme="majorBidi" w:cstheme="majorBidi"/>
          <w:b/>
          <w:bCs/>
          <w:sz w:val="28"/>
          <w:szCs w:val="36"/>
        </w:rPr>
      </w:pPr>
      <w:bookmarkStart w:id="2" w:name="2730627"/>
      <w:bookmarkEnd w:id="2"/>
      <w:r w:rsidRPr="000B6801">
        <w:rPr>
          <w:rFonts w:asciiTheme="majorBidi" w:hAnsiTheme="majorBidi" w:cstheme="majorBidi"/>
          <w:b/>
          <w:bCs/>
          <w:sz w:val="28"/>
          <w:szCs w:val="36"/>
        </w:rPr>
        <w:t>Mechanism of Action</w:t>
      </w:r>
    </w:p>
    <w:p w:rsidR="00101F95" w:rsidRPr="000B6801" w:rsidRDefault="00101F95" w:rsidP="00F150D3">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TNF-</w:t>
      </w:r>
      <w:r w:rsidR="00F150D3">
        <w:rPr>
          <w:rFonts w:asciiTheme="majorBidi" w:hAnsiTheme="majorBidi" w:cstheme="majorBidi"/>
          <w:sz w:val="24"/>
          <w:szCs w:val="36"/>
        </w:rPr>
        <w:t>α</w:t>
      </w:r>
      <w:r w:rsidRPr="000B6801">
        <w:rPr>
          <w:rFonts w:asciiTheme="majorBidi" w:hAnsiTheme="majorBidi" w:cstheme="majorBidi"/>
          <w:sz w:val="24"/>
          <w:szCs w:val="36"/>
        </w:rPr>
        <w:t xml:space="preserve"> and TNF-</w:t>
      </w:r>
      <w:r w:rsidR="00F150D3">
        <w:rPr>
          <w:rFonts w:asciiTheme="majorBidi" w:hAnsiTheme="majorBidi" w:cstheme="majorBidi"/>
          <w:sz w:val="24"/>
          <w:szCs w:val="36"/>
        </w:rPr>
        <w:t>β</w:t>
      </w:r>
      <w:r w:rsidR="00F150D3" w:rsidRPr="000B6801">
        <w:rPr>
          <w:rFonts w:asciiTheme="majorBidi" w:hAnsiTheme="majorBidi" w:cstheme="majorBidi"/>
          <w:sz w:val="24"/>
          <w:szCs w:val="36"/>
        </w:rPr>
        <w:t xml:space="preserve"> </w:t>
      </w:r>
      <w:r w:rsidRPr="000B6801">
        <w:rPr>
          <w:rFonts w:asciiTheme="majorBidi" w:hAnsiTheme="majorBidi" w:cstheme="majorBidi"/>
          <w:sz w:val="24"/>
          <w:szCs w:val="36"/>
        </w:rPr>
        <w:t xml:space="preserve">are cytokines that regulate a wide array of biological functions necessary for normal inflammatory and immune responses. </w:t>
      </w:r>
    </w:p>
    <w:p w:rsidR="00101F95" w:rsidRPr="000B6801" w:rsidRDefault="00101F95" w:rsidP="00F150D3">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TNF-</w:t>
      </w:r>
      <w:r w:rsidR="00F150D3">
        <w:rPr>
          <w:rFonts w:asciiTheme="majorBidi" w:hAnsiTheme="majorBidi" w:cstheme="majorBidi"/>
          <w:sz w:val="24"/>
          <w:szCs w:val="36"/>
        </w:rPr>
        <w:t>α</w:t>
      </w:r>
      <w:r w:rsidRPr="000B6801">
        <w:rPr>
          <w:rFonts w:asciiTheme="majorBidi" w:hAnsiTheme="majorBidi" w:cstheme="majorBidi"/>
          <w:sz w:val="24"/>
          <w:szCs w:val="36"/>
        </w:rPr>
        <w:t xml:space="preserve">, through its binding to membrane-bound TNF receptors, mediates many of the proinflammatory processes implicated in inflammatory arthritis. </w:t>
      </w:r>
    </w:p>
    <w:p w:rsidR="00101F95" w:rsidRPr="000B6801" w:rsidRDefault="00101F95" w:rsidP="00F150D3">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Etanercept binds soluble TNF-</w:t>
      </w:r>
      <w:r w:rsidR="00F150D3" w:rsidRPr="00F150D3">
        <w:rPr>
          <w:rFonts w:asciiTheme="majorBidi" w:hAnsiTheme="majorBidi" w:cstheme="majorBidi"/>
          <w:sz w:val="24"/>
          <w:szCs w:val="36"/>
        </w:rPr>
        <w:t xml:space="preserve"> </w:t>
      </w:r>
      <w:r w:rsidR="00F150D3">
        <w:rPr>
          <w:rFonts w:asciiTheme="majorBidi" w:hAnsiTheme="majorBidi" w:cstheme="majorBidi"/>
          <w:sz w:val="24"/>
          <w:szCs w:val="36"/>
        </w:rPr>
        <w:t>α</w:t>
      </w:r>
      <w:r w:rsidR="00F150D3" w:rsidRPr="000B6801">
        <w:rPr>
          <w:rFonts w:asciiTheme="majorBidi" w:hAnsiTheme="majorBidi" w:cstheme="majorBidi"/>
          <w:sz w:val="24"/>
          <w:szCs w:val="36"/>
        </w:rPr>
        <w:t xml:space="preserve"> </w:t>
      </w:r>
      <w:r w:rsidRPr="000B6801">
        <w:rPr>
          <w:rFonts w:asciiTheme="majorBidi" w:hAnsiTheme="majorBidi" w:cstheme="majorBidi"/>
          <w:sz w:val="24"/>
          <w:szCs w:val="36"/>
        </w:rPr>
        <w:t xml:space="preserve"> and TNF-</w:t>
      </w:r>
      <w:r w:rsidR="00F150D3">
        <w:rPr>
          <w:rFonts w:asciiTheme="majorBidi" w:hAnsiTheme="majorBidi" w:cstheme="majorBidi"/>
          <w:sz w:val="24"/>
          <w:szCs w:val="36"/>
        </w:rPr>
        <w:t>β</w:t>
      </w:r>
      <w:r w:rsidR="00F150D3" w:rsidRPr="000B6801">
        <w:rPr>
          <w:rFonts w:asciiTheme="majorBidi" w:hAnsiTheme="majorBidi" w:cstheme="majorBidi"/>
          <w:sz w:val="24"/>
          <w:szCs w:val="36"/>
        </w:rPr>
        <w:t xml:space="preserve"> </w:t>
      </w:r>
      <w:r w:rsidRPr="000B6801">
        <w:rPr>
          <w:rFonts w:asciiTheme="majorBidi" w:hAnsiTheme="majorBidi" w:cstheme="majorBidi"/>
          <w:sz w:val="24"/>
          <w:szCs w:val="36"/>
        </w:rPr>
        <w:t xml:space="preserve"> and prevents their association with cell-surface receptors. </w:t>
      </w:r>
    </w:p>
    <w:p w:rsidR="00101F95" w:rsidRPr="000B6801" w:rsidRDefault="00101F95" w:rsidP="00F150D3">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Both infliximab and adalimumab bind soluble as well as membrane-bound TNF-</w:t>
      </w:r>
      <w:r w:rsidR="00F150D3">
        <w:rPr>
          <w:rFonts w:asciiTheme="majorBidi" w:hAnsiTheme="majorBidi" w:cstheme="majorBidi"/>
          <w:sz w:val="24"/>
          <w:szCs w:val="36"/>
        </w:rPr>
        <w:t>α</w:t>
      </w:r>
      <w:r w:rsidR="00F150D3" w:rsidRPr="000B6801">
        <w:rPr>
          <w:rFonts w:asciiTheme="majorBidi" w:hAnsiTheme="majorBidi" w:cstheme="majorBidi"/>
          <w:sz w:val="24"/>
          <w:szCs w:val="36"/>
        </w:rPr>
        <w:t xml:space="preserve"> </w:t>
      </w:r>
      <w:r w:rsidRPr="000B6801">
        <w:rPr>
          <w:rFonts w:asciiTheme="majorBidi" w:hAnsiTheme="majorBidi" w:cstheme="majorBidi"/>
          <w:sz w:val="24"/>
          <w:szCs w:val="36"/>
        </w:rPr>
        <w:t xml:space="preserve"> and block cell signaling through TNF receptor pathways.</w:t>
      </w:r>
    </w:p>
    <w:p w:rsidR="00101F95" w:rsidRPr="000B6801" w:rsidRDefault="00101F95" w:rsidP="00101F95">
      <w:pPr>
        <w:pStyle w:val="a6"/>
        <w:numPr>
          <w:ilvl w:val="0"/>
          <w:numId w:val="2"/>
        </w:numPr>
        <w:jc w:val="both"/>
        <w:rPr>
          <w:rFonts w:asciiTheme="majorBidi" w:hAnsiTheme="majorBidi" w:cstheme="majorBidi"/>
          <w:b/>
          <w:bCs/>
          <w:sz w:val="28"/>
          <w:szCs w:val="36"/>
        </w:rPr>
      </w:pPr>
      <w:bookmarkStart w:id="3" w:name="2730628"/>
      <w:bookmarkEnd w:id="3"/>
      <w:r w:rsidRPr="000B6801">
        <w:rPr>
          <w:rFonts w:asciiTheme="majorBidi" w:hAnsiTheme="majorBidi" w:cstheme="majorBidi"/>
          <w:b/>
          <w:bCs/>
          <w:sz w:val="28"/>
          <w:szCs w:val="36"/>
        </w:rPr>
        <w:t>Pharmacokinetics</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Bioavailability: Etanercept (subcutaneous) 60%, adalimumab (subcutaneous) 64%. Infliximab is administered intravenously.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Average half-life: Etanercept 4.25 days; infliximab 8–12 days; adalimumab 14 days.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Clearance: The exact mechanisms of clearance for etanercept, infliximab, and adalimumab have not been definitively determined, although the reticuloendothelial system may play a role. No formal studies have been done to determine the effects of hepatic or renal impairment on clearance.</w:t>
      </w:r>
    </w:p>
    <w:p w:rsidR="00101F95" w:rsidRPr="000B6801" w:rsidRDefault="00101F95" w:rsidP="00101F95">
      <w:pPr>
        <w:pStyle w:val="a6"/>
        <w:numPr>
          <w:ilvl w:val="0"/>
          <w:numId w:val="2"/>
        </w:numPr>
        <w:jc w:val="both"/>
        <w:rPr>
          <w:rFonts w:asciiTheme="majorBidi" w:hAnsiTheme="majorBidi" w:cstheme="majorBidi"/>
          <w:b/>
          <w:bCs/>
          <w:sz w:val="28"/>
          <w:szCs w:val="36"/>
        </w:rPr>
      </w:pPr>
      <w:bookmarkStart w:id="4" w:name="2730629"/>
      <w:bookmarkEnd w:id="4"/>
      <w:r w:rsidRPr="000B6801">
        <w:rPr>
          <w:rFonts w:asciiTheme="majorBidi" w:hAnsiTheme="majorBidi" w:cstheme="majorBidi"/>
          <w:b/>
          <w:bCs/>
          <w:sz w:val="28"/>
          <w:szCs w:val="36"/>
        </w:rPr>
        <w:t>Uses in Rheumatic Disease</w:t>
      </w:r>
    </w:p>
    <w:p w:rsidR="00101F95" w:rsidRPr="000B6801" w:rsidRDefault="00101F95" w:rsidP="00101F95">
      <w:pPr>
        <w:pStyle w:val="a6"/>
        <w:numPr>
          <w:ilvl w:val="0"/>
          <w:numId w:val="25"/>
        </w:numPr>
        <w:jc w:val="both"/>
        <w:rPr>
          <w:rFonts w:asciiTheme="majorBidi" w:hAnsiTheme="majorBidi" w:cstheme="majorBidi"/>
          <w:b/>
          <w:bCs/>
          <w:i/>
          <w:iCs/>
          <w:sz w:val="24"/>
          <w:szCs w:val="36"/>
        </w:rPr>
      </w:pPr>
      <w:bookmarkStart w:id="5" w:name="2730630"/>
      <w:bookmarkEnd w:id="5"/>
      <w:r w:rsidRPr="000B6801">
        <w:rPr>
          <w:rFonts w:asciiTheme="majorBidi" w:hAnsiTheme="majorBidi" w:cstheme="majorBidi"/>
          <w:b/>
          <w:bCs/>
          <w:i/>
          <w:iCs/>
          <w:sz w:val="24"/>
          <w:szCs w:val="36"/>
        </w:rPr>
        <w:t>Rheumatoid Arthritis</w:t>
      </w:r>
    </w:p>
    <w:p w:rsidR="00101F95" w:rsidRPr="000B6801" w:rsidRDefault="00101F95" w:rsidP="00E84AE3">
      <w:pPr>
        <w:pStyle w:val="a6"/>
        <w:numPr>
          <w:ilvl w:val="0"/>
          <w:numId w:val="35"/>
        </w:numPr>
        <w:jc w:val="both"/>
        <w:rPr>
          <w:rFonts w:asciiTheme="majorBidi" w:hAnsiTheme="majorBidi" w:cstheme="majorBidi"/>
          <w:sz w:val="24"/>
          <w:szCs w:val="36"/>
        </w:rPr>
      </w:pPr>
      <w:bookmarkStart w:id="6" w:name="2730631"/>
      <w:bookmarkEnd w:id="6"/>
      <w:r w:rsidRPr="000B6801">
        <w:rPr>
          <w:rFonts w:asciiTheme="majorBidi" w:hAnsiTheme="majorBidi" w:cstheme="majorBidi"/>
          <w:sz w:val="24"/>
          <w:szCs w:val="36"/>
        </w:rPr>
        <w:t xml:space="preserve">Etanercept has been studied in diverse populations of adult patients with active RA, including patients with active RA despite previous therapy with at least one DMARD and DMARD-naíve patients with early RA. </w:t>
      </w:r>
      <w:r w:rsidRPr="000B6801">
        <w:rPr>
          <w:rFonts w:asciiTheme="majorBidi" w:hAnsiTheme="majorBidi" w:cstheme="majorBidi"/>
          <w:sz w:val="24"/>
          <w:szCs w:val="36"/>
        </w:rPr>
        <w:lastRenderedPageBreak/>
        <w:t>Etanercept is superior to placebo as either monotherapy or add-on therapy with methotrexate in relieving many of the signs and symptoms associated with RA.</w:t>
      </w:r>
    </w:p>
    <w:p w:rsidR="00101F95" w:rsidRPr="000B6801" w:rsidRDefault="00101F95" w:rsidP="00E84AE3">
      <w:pPr>
        <w:pStyle w:val="a6"/>
        <w:numPr>
          <w:ilvl w:val="0"/>
          <w:numId w:val="35"/>
        </w:numPr>
        <w:jc w:val="both"/>
        <w:rPr>
          <w:rFonts w:asciiTheme="majorBidi" w:hAnsiTheme="majorBidi" w:cstheme="majorBidi"/>
          <w:sz w:val="24"/>
          <w:szCs w:val="36"/>
        </w:rPr>
      </w:pPr>
      <w:bookmarkStart w:id="7" w:name="2730632"/>
      <w:bookmarkEnd w:id="7"/>
      <w:r w:rsidRPr="000B6801">
        <w:rPr>
          <w:rFonts w:asciiTheme="majorBidi" w:hAnsiTheme="majorBidi" w:cstheme="majorBidi"/>
          <w:sz w:val="24"/>
          <w:szCs w:val="36"/>
        </w:rPr>
        <w:t>In patients with active RA despite treatment with methotrexate, infliximab is superior to placebo in reducing the signs and symptoms of disease when given in concert with methotrexate.</w:t>
      </w:r>
    </w:p>
    <w:p w:rsidR="00101F95" w:rsidRPr="000B6801" w:rsidRDefault="00101F95" w:rsidP="00E84AE3">
      <w:pPr>
        <w:pStyle w:val="a6"/>
        <w:numPr>
          <w:ilvl w:val="0"/>
          <w:numId w:val="35"/>
        </w:numPr>
        <w:jc w:val="both"/>
        <w:rPr>
          <w:rFonts w:asciiTheme="majorBidi" w:hAnsiTheme="majorBidi" w:cstheme="majorBidi"/>
          <w:sz w:val="24"/>
          <w:szCs w:val="36"/>
        </w:rPr>
      </w:pPr>
      <w:bookmarkStart w:id="8" w:name="2730633"/>
      <w:bookmarkEnd w:id="8"/>
      <w:r w:rsidRPr="000B6801">
        <w:rPr>
          <w:rFonts w:asciiTheme="majorBidi" w:hAnsiTheme="majorBidi" w:cstheme="majorBidi"/>
          <w:sz w:val="24"/>
          <w:szCs w:val="36"/>
        </w:rPr>
        <w:t>Adalimumab has been studied as monotherapy and in combination with methotrexate and other DMARDS. It has also been studied in patients who have failed at least one previous DMARD, remained on stable doses of current DMARD therapy, or are DMARD-naíve. In all populations, adalimumab is superior to placebo in controlling the signs and symptoms of RA.</w:t>
      </w:r>
    </w:p>
    <w:p w:rsidR="00101F95" w:rsidRPr="000B6801" w:rsidRDefault="00101F95" w:rsidP="00E84AE3">
      <w:pPr>
        <w:pStyle w:val="a6"/>
        <w:numPr>
          <w:ilvl w:val="0"/>
          <w:numId w:val="35"/>
        </w:numPr>
        <w:jc w:val="both"/>
        <w:rPr>
          <w:rFonts w:asciiTheme="majorBidi" w:hAnsiTheme="majorBidi" w:cstheme="majorBidi"/>
          <w:sz w:val="24"/>
          <w:szCs w:val="36"/>
        </w:rPr>
      </w:pPr>
      <w:bookmarkStart w:id="9" w:name="2730634"/>
      <w:bookmarkEnd w:id="9"/>
      <w:r w:rsidRPr="000B6801">
        <w:rPr>
          <w:rFonts w:asciiTheme="majorBidi" w:hAnsiTheme="majorBidi" w:cstheme="majorBidi"/>
          <w:sz w:val="24"/>
          <w:szCs w:val="36"/>
        </w:rPr>
        <w:t>Etanercept, infliximab, and adalimumab have been shown to slow or inhibit the radiographic progression of joint destruction in rheumatoid arthritis.</w:t>
      </w:r>
    </w:p>
    <w:p w:rsidR="00101F95" w:rsidRPr="000B6801" w:rsidRDefault="00101F95" w:rsidP="00101F95">
      <w:pPr>
        <w:pStyle w:val="a6"/>
        <w:numPr>
          <w:ilvl w:val="0"/>
          <w:numId w:val="25"/>
        </w:numPr>
        <w:jc w:val="both"/>
        <w:rPr>
          <w:rFonts w:asciiTheme="majorBidi" w:hAnsiTheme="majorBidi" w:cstheme="majorBidi"/>
          <w:b/>
          <w:bCs/>
          <w:i/>
          <w:iCs/>
          <w:sz w:val="24"/>
          <w:szCs w:val="36"/>
        </w:rPr>
      </w:pPr>
      <w:bookmarkStart w:id="10" w:name="2730635"/>
      <w:bookmarkEnd w:id="10"/>
      <w:r w:rsidRPr="000B6801">
        <w:rPr>
          <w:rFonts w:asciiTheme="majorBidi" w:hAnsiTheme="majorBidi" w:cstheme="majorBidi"/>
          <w:b/>
          <w:bCs/>
          <w:i/>
          <w:iCs/>
          <w:sz w:val="24"/>
          <w:szCs w:val="36"/>
        </w:rPr>
        <w:t>Psoriatic Arthritis</w:t>
      </w:r>
    </w:p>
    <w:p w:rsidR="00101F95" w:rsidRDefault="00101F95" w:rsidP="00E84AE3">
      <w:pPr>
        <w:pStyle w:val="a6"/>
        <w:numPr>
          <w:ilvl w:val="0"/>
          <w:numId w:val="35"/>
        </w:numPr>
        <w:jc w:val="both"/>
        <w:rPr>
          <w:rFonts w:asciiTheme="majorBidi" w:hAnsiTheme="majorBidi" w:cstheme="majorBidi"/>
          <w:sz w:val="24"/>
          <w:szCs w:val="36"/>
        </w:rPr>
      </w:pPr>
      <w:bookmarkStart w:id="11" w:name="2730636"/>
      <w:bookmarkEnd w:id="11"/>
      <w:r w:rsidRPr="000B6801">
        <w:rPr>
          <w:rFonts w:asciiTheme="majorBidi" w:hAnsiTheme="majorBidi" w:cstheme="majorBidi"/>
          <w:sz w:val="24"/>
          <w:szCs w:val="36"/>
        </w:rPr>
        <w:t>All three of these anti-TNF agents are approved by the FDA for the treatment of psoriatic arthritis. Each has demonstrated efficacy as monotherapy in randomized, placebo-controlled studies.</w:t>
      </w:r>
    </w:p>
    <w:p w:rsidR="006A7C02" w:rsidRDefault="006A7C02" w:rsidP="006A7C02">
      <w:pPr>
        <w:pStyle w:val="a6"/>
        <w:numPr>
          <w:ilvl w:val="0"/>
          <w:numId w:val="35"/>
        </w:numPr>
        <w:jc w:val="both"/>
        <w:rPr>
          <w:rFonts w:asciiTheme="majorBidi" w:hAnsiTheme="majorBidi" w:cstheme="majorBidi"/>
          <w:sz w:val="24"/>
          <w:szCs w:val="36"/>
        </w:rPr>
      </w:pPr>
      <w:r>
        <w:rPr>
          <w:rFonts w:asciiTheme="majorBidi" w:hAnsiTheme="majorBidi" w:cstheme="majorBidi"/>
          <w:sz w:val="24"/>
          <w:szCs w:val="36"/>
        </w:rPr>
        <w:t>Anti-TNF drugs are now the most known effective drugs for treatment of PsA</w:t>
      </w:r>
      <w:r w:rsidR="00A94DAB">
        <w:rPr>
          <w:rFonts w:asciiTheme="majorBidi" w:hAnsiTheme="majorBidi" w:cstheme="majorBidi"/>
          <w:sz w:val="24"/>
          <w:szCs w:val="36"/>
        </w:rPr>
        <w:t xml:space="preserve"> </w:t>
      </w:r>
      <w:r w:rsidR="00A94DAB">
        <w:rPr>
          <w:rFonts w:asciiTheme="majorBidi" w:hAnsiTheme="majorBidi" w:cstheme="majorBidi"/>
          <w:sz w:val="24"/>
          <w:szCs w:val="36"/>
        </w:rPr>
        <w:sym w:font="Wingdings" w:char="F0FE"/>
      </w:r>
      <w:r>
        <w:rPr>
          <w:rFonts w:asciiTheme="majorBidi" w:hAnsiTheme="majorBidi" w:cstheme="majorBidi"/>
          <w:sz w:val="24"/>
          <w:szCs w:val="36"/>
        </w:rPr>
        <w:t>.</w:t>
      </w:r>
    </w:p>
    <w:p w:rsidR="006A7C02" w:rsidRDefault="006A7C02" w:rsidP="006A7C02">
      <w:pPr>
        <w:pStyle w:val="a6"/>
        <w:numPr>
          <w:ilvl w:val="0"/>
          <w:numId w:val="35"/>
        </w:numPr>
        <w:jc w:val="both"/>
        <w:rPr>
          <w:rFonts w:asciiTheme="majorBidi" w:hAnsiTheme="majorBidi" w:cstheme="majorBidi"/>
          <w:sz w:val="24"/>
          <w:szCs w:val="36"/>
        </w:rPr>
      </w:pPr>
      <w:r>
        <w:rPr>
          <w:rFonts w:asciiTheme="majorBidi" w:hAnsiTheme="majorBidi" w:cstheme="majorBidi"/>
          <w:sz w:val="24"/>
          <w:szCs w:val="36"/>
        </w:rPr>
        <w:t>Radiological progression decreases significantly with Anti-TNF drugs, but the characteristic PsA radiological picture (pencil-in-cup or diffuse osteolysis) do not change due to the more fixed nature of these changes</w:t>
      </w:r>
      <w:r w:rsidR="00A94DAB">
        <w:rPr>
          <w:rFonts w:asciiTheme="majorBidi" w:hAnsiTheme="majorBidi" w:cstheme="majorBidi"/>
          <w:sz w:val="24"/>
          <w:szCs w:val="36"/>
        </w:rPr>
        <w:t xml:space="preserve"> </w:t>
      </w:r>
      <w:r w:rsidR="00A94DAB">
        <w:rPr>
          <w:rFonts w:asciiTheme="majorBidi" w:hAnsiTheme="majorBidi" w:cstheme="majorBidi"/>
          <w:sz w:val="24"/>
          <w:szCs w:val="36"/>
        </w:rPr>
        <w:sym w:font="Wingdings" w:char="F0FE"/>
      </w:r>
      <w:r>
        <w:rPr>
          <w:rFonts w:asciiTheme="majorBidi" w:hAnsiTheme="majorBidi" w:cstheme="majorBidi"/>
          <w:sz w:val="24"/>
          <w:szCs w:val="36"/>
        </w:rPr>
        <w:t>.</w:t>
      </w:r>
    </w:p>
    <w:p w:rsidR="006A7C02" w:rsidRDefault="006A7C02" w:rsidP="006A7C02">
      <w:pPr>
        <w:pStyle w:val="a6"/>
        <w:numPr>
          <w:ilvl w:val="0"/>
          <w:numId w:val="35"/>
        </w:numPr>
        <w:jc w:val="both"/>
        <w:rPr>
          <w:rFonts w:asciiTheme="majorBidi" w:hAnsiTheme="majorBidi" w:cstheme="majorBidi"/>
          <w:sz w:val="24"/>
          <w:szCs w:val="36"/>
        </w:rPr>
      </w:pPr>
      <w:r>
        <w:rPr>
          <w:rFonts w:asciiTheme="majorBidi" w:hAnsiTheme="majorBidi" w:cstheme="majorBidi"/>
          <w:sz w:val="24"/>
          <w:szCs w:val="36"/>
        </w:rPr>
        <w:t>In case of failure or lost efficacy of one anti-TNFα drug in treatment of PsA,  switch to other anti-TNFα drugs may be beneficial</w:t>
      </w:r>
      <w:r w:rsidR="00A94DAB">
        <w:rPr>
          <w:rFonts w:asciiTheme="majorBidi" w:hAnsiTheme="majorBidi" w:cstheme="majorBidi"/>
          <w:sz w:val="24"/>
          <w:szCs w:val="36"/>
        </w:rPr>
        <w:t xml:space="preserve"> </w:t>
      </w:r>
      <w:r w:rsidR="00A94DAB">
        <w:rPr>
          <w:rFonts w:asciiTheme="majorBidi" w:hAnsiTheme="majorBidi" w:cstheme="majorBidi"/>
          <w:sz w:val="24"/>
          <w:szCs w:val="36"/>
        </w:rPr>
        <w:sym w:font="Wingdings" w:char="F0FE"/>
      </w:r>
      <w:r>
        <w:rPr>
          <w:rFonts w:asciiTheme="majorBidi" w:hAnsiTheme="majorBidi" w:cstheme="majorBidi"/>
          <w:sz w:val="24"/>
          <w:szCs w:val="36"/>
        </w:rPr>
        <w:t>.</w:t>
      </w:r>
    </w:p>
    <w:p w:rsidR="00101F95" w:rsidRPr="000B6801" w:rsidRDefault="00101F95" w:rsidP="00101F95">
      <w:pPr>
        <w:pStyle w:val="a6"/>
        <w:numPr>
          <w:ilvl w:val="0"/>
          <w:numId w:val="25"/>
        </w:numPr>
        <w:jc w:val="both"/>
        <w:rPr>
          <w:rFonts w:asciiTheme="majorBidi" w:hAnsiTheme="majorBidi" w:cstheme="majorBidi"/>
          <w:b/>
          <w:bCs/>
          <w:i/>
          <w:iCs/>
          <w:sz w:val="24"/>
          <w:szCs w:val="36"/>
        </w:rPr>
      </w:pPr>
      <w:bookmarkStart w:id="12" w:name="2730637"/>
      <w:bookmarkEnd w:id="12"/>
      <w:r w:rsidRPr="000B6801">
        <w:rPr>
          <w:rFonts w:asciiTheme="majorBidi" w:hAnsiTheme="majorBidi" w:cstheme="majorBidi"/>
          <w:b/>
          <w:bCs/>
          <w:i/>
          <w:iCs/>
          <w:sz w:val="24"/>
          <w:szCs w:val="36"/>
        </w:rPr>
        <w:t>Ankylosing Spondylitis</w:t>
      </w:r>
      <w:r w:rsidR="00686704">
        <w:rPr>
          <w:rFonts w:asciiTheme="majorBidi" w:hAnsiTheme="majorBidi" w:cstheme="majorBidi"/>
          <w:b/>
          <w:bCs/>
          <w:i/>
          <w:iCs/>
          <w:sz w:val="24"/>
          <w:szCs w:val="36"/>
        </w:rPr>
        <w:t xml:space="preserve"> </w:t>
      </w:r>
      <w:r w:rsidR="00686704">
        <w:rPr>
          <w:rFonts w:asciiTheme="majorBidi" w:hAnsiTheme="majorBidi" w:cstheme="majorBidi"/>
          <w:b/>
          <w:bCs/>
          <w:i/>
          <w:iCs/>
          <w:sz w:val="24"/>
          <w:szCs w:val="36"/>
        </w:rPr>
        <w:sym w:font="Wingdings" w:char="F0FE"/>
      </w:r>
    </w:p>
    <w:p w:rsidR="00A94DAB" w:rsidRPr="00A94DAB" w:rsidRDefault="00A94DAB" w:rsidP="00A94DAB">
      <w:pPr>
        <w:pStyle w:val="a6"/>
        <w:numPr>
          <w:ilvl w:val="0"/>
          <w:numId w:val="35"/>
        </w:numPr>
        <w:jc w:val="both"/>
        <w:rPr>
          <w:rFonts w:asciiTheme="majorBidi" w:hAnsiTheme="majorBidi" w:cstheme="majorBidi"/>
          <w:sz w:val="24"/>
          <w:szCs w:val="36"/>
        </w:rPr>
      </w:pPr>
      <w:bookmarkStart w:id="13" w:name="2730638"/>
      <w:bookmarkEnd w:id="13"/>
      <w:r w:rsidRPr="00A94DAB">
        <w:rPr>
          <w:rFonts w:asciiTheme="majorBidi" w:hAnsiTheme="majorBidi" w:cstheme="majorBidi"/>
          <w:sz w:val="24"/>
          <w:szCs w:val="36"/>
        </w:rPr>
        <w:t>TNF-α appears to play a key role in promoting inflammation in AS.</w:t>
      </w:r>
    </w:p>
    <w:p w:rsidR="00A94DAB" w:rsidRPr="00A94DAB" w:rsidRDefault="00A94DAB" w:rsidP="00A94DAB">
      <w:pPr>
        <w:pStyle w:val="a6"/>
        <w:numPr>
          <w:ilvl w:val="0"/>
          <w:numId w:val="35"/>
        </w:numPr>
        <w:jc w:val="both"/>
        <w:rPr>
          <w:rFonts w:asciiTheme="majorBidi" w:hAnsiTheme="majorBidi" w:cstheme="majorBidi"/>
          <w:sz w:val="24"/>
          <w:szCs w:val="36"/>
        </w:rPr>
      </w:pPr>
      <w:r w:rsidRPr="00A94DAB">
        <w:rPr>
          <w:rFonts w:asciiTheme="majorBidi" w:hAnsiTheme="majorBidi" w:cstheme="majorBidi"/>
          <w:sz w:val="24"/>
          <w:szCs w:val="36"/>
        </w:rPr>
        <w:t>The proved anti TNF-α for AS are:</w:t>
      </w:r>
    </w:p>
    <w:p w:rsidR="00A94DAB" w:rsidRPr="00A94DAB" w:rsidRDefault="00686704" w:rsidP="00A94DAB">
      <w:pPr>
        <w:pStyle w:val="a6"/>
        <w:numPr>
          <w:ilvl w:val="0"/>
          <w:numId w:val="35"/>
        </w:numPr>
        <w:jc w:val="both"/>
        <w:rPr>
          <w:rFonts w:asciiTheme="majorBidi" w:hAnsiTheme="majorBidi" w:cstheme="majorBidi"/>
          <w:sz w:val="24"/>
          <w:szCs w:val="36"/>
        </w:rPr>
      </w:pPr>
      <w:r>
        <w:rPr>
          <w:rFonts w:asciiTheme="majorBidi" w:hAnsiTheme="majorBidi" w:cstheme="majorBidi"/>
          <w:sz w:val="24"/>
          <w:szCs w:val="36"/>
        </w:rPr>
        <w:t>They are</w:t>
      </w:r>
      <w:r w:rsidR="00A94DAB" w:rsidRPr="00A94DAB">
        <w:rPr>
          <w:rFonts w:asciiTheme="majorBidi" w:hAnsiTheme="majorBidi" w:cstheme="majorBidi"/>
          <w:sz w:val="24"/>
          <w:szCs w:val="36"/>
        </w:rPr>
        <w:t xml:space="preserve"> proved to produce sustained response in primary outcomes (morning stiffness, nocturnal pain, patient's global assessment and finctional index) and secondary outcomes (spinal and chest range of movement, enthesitis and acute phase reactants).</w:t>
      </w:r>
    </w:p>
    <w:p w:rsidR="00A94DAB" w:rsidRDefault="00A94DAB" w:rsidP="00A94DAB">
      <w:pPr>
        <w:pStyle w:val="a6"/>
        <w:numPr>
          <w:ilvl w:val="0"/>
          <w:numId w:val="35"/>
        </w:numPr>
        <w:jc w:val="both"/>
        <w:rPr>
          <w:rFonts w:asciiTheme="majorBidi" w:hAnsiTheme="majorBidi" w:cstheme="majorBidi"/>
          <w:sz w:val="24"/>
          <w:szCs w:val="36"/>
        </w:rPr>
      </w:pPr>
      <w:r w:rsidRPr="00A94DAB">
        <w:rPr>
          <w:rFonts w:asciiTheme="majorBidi" w:hAnsiTheme="majorBidi" w:cstheme="majorBidi"/>
          <w:sz w:val="24"/>
          <w:szCs w:val="36"/>
        </w:rPr>
        <w:t>MRI shows 86 % reduction in acute inflammatory lesions over 24 weeks of treatment.</w:t>
      </w:r>
    </w:p>
    <w:p w:rsidR="00686704" w:rsidRPr="00A94DAB" w:rsidRDefault="00686704" w:rsidP="00686704">
      <w:pPr>
        <w:pStyle w:val="a6"/>
        <w:numPr>
          <w:ilvl w:val="0"/>
          <w:numId w:val="35"/>
        </w:numPr>
        <w:jc w:val="both"/>
        <w:rPr>
          <w:rFonts w:asciiTheme="majorBidi" w:hAnsiTheme="majorBidi" w:cstheme="majorBidi"/>
          <w:sz w:val="24"/>
          <w:szCs w:val="36"/>
        </w:rPr>
      </w:pPr>
      <w:r w:rsidRPr="00A94DAB">
        <w:rPr>
          <w:rFonts w:asciiTheme="majorBidi" w:hAnsiTheme="majorBidi" w:cstheme="majorBidi"/>
          <w:sz w:val="24"/>
          <w:szCs w:val="36"/>
        </w:rPr>
        <w:t>For patients with AS and concomitant IBD, monoclocal antibody to TNF is preferred (infliximab or adalimumab).</w:t>
      </w:r>
    </w:p>
    <w:p w:rsidR="00101F95" w:rsidRPr="000B6801" w:rsidRDefault="00101F95" w:rsidP="00101F95">
      <w:pPr>
        <w:pStyle w:val="a6"/>
        <w:numPr>
          <w:ilvl w:val="0"/>
          <w:numId w:val="25"/>
        </w:numPr>
        <w:jc w:val="both"/>
        <w:rPr>
          <w:rFonts w:asciiTheme="majorBidi" w:hAnsiTheme="majorBidi" w:cstheme="majorBidi"/>
          <w:b/>
          <w:bCs/>
          <w:i/>
          <w:iCs/>
          <w:sz w:val="24"/>
          <w:szCs w:val="36"/>
        </w:rPr>
      </w:pPr>
      <w:bookmarkStart w:id="14" w:name="2730639"/>
      <w:bookmarkEnd w:id="14"/>
      <w:r w:rsidRPr="000B6801">
        <w:rPr>
          <w:rFonts w:asciiTheme="majorBidi" w:hAnsiTheme="majorBidi" w:cstheme="majorBidi"/>
          <w:b/>
          <w:bCs/>
          <w:i/>
          <w:iCs/>
          <w:sz w:val="24"/>
          <w:szCs w:val="36"/>
        </w:rPr>
        <w:t>Other Spondyloarthropathies</w:t>
      </w:r>
    </w:p>
    <w:p w:rsidR="00101F95" w:rsidRPr="000B6801" w:rsidRDefault="00101F95" w:rsidP="00E84AE3">
      <w:pPr>
        <w:pStyle w:val="a6"/>
        <w:numPr>
          <w:ilvl w:val="0"/>
          <w:numId w:val="35"/>
        </w:numPr>
        <w:jc w:val="both"/>
        <w:rPr>
          <w:rFonts w:asciiTheme="majorBidi" w:hAnsiTheme="majorBidi" w:cstheme="majorBidi"/>
          <w:sz w:val="24"/>
          <w:szCs w:val="36"/>
        </w:rPr>
      </w:pPr>
      <w:bookmarkStart w:id="15" w:name="2730640"/>
      <w:bookmarkEnd w:id="15"/>
      <w:r w:rsidRPr="000B6801">
        <w:rPr>
          <w:rFonts w:asciiTheme="majorBidi" w:hAnsiTheme="majorBidi" w:cstheme="majorBidi"/>
          <w:sz w:val="24"/>
          <w:szCs w:val="36"/>
        </w:rPr>
        <w:t>Small, open label studies suggest that etanercept and infliximab have efficacy in the treatment of undifferentiated spondyloarthropathy and reactive arthritis and the axial and peripheral arthritis associated with inflammatory bowel disease. However, none of the anti-TNF agents have been rigorously studied in prospective, double-blinded placebo controlled studies for these diseases.</w:t>
      </w:r>
    </w:p>
    <w:p w:rsidR="00101F95" w:rsidRPr="000B6801" w:rsidRDefault="00101F95" w:rsidP="00101F95">
      <w:pPr>
        <w:pStyle w:val="a6"/>
        <w:numPr>
          <w:ilvl w:val="0"/>
          <w:numId w:val="25"/>
        </w:numPr>
        <w:jc w:val="both"/>
        <w:rPr>
          <w:rFonts w:asciiTheme="majorBidi" w:hAnsiTheme="majorBidi" w:cstheme="majorBidi"/>
          <w:b/>
          <w:bCs/>
          <w:i/>
          <w:iCs/>
          <w:sz w:val="24"/>
          <w:szCs w:val="36"/>
        </w:rPr>
      </w:pPr>
      <w:bookmarkStart w:id="16" w:name="2730641"/>
      <w:bookmarkEnd w:id="16"/>
      <w:r w:rsidRPr="000B6801">
        <w:rPr>
          <w:rFonts w:asciiTheme="majorBidi" w:hAnsiTheme="majorBidi" w:cstheme="majorBidi"/>
          <w:b/>
          <w:bCs/>
          <w:i/>
          <w:iCs/>
          <w:sz w:val="24"/>
          <w:szCs w:val="36"/>
        </w:rPr>
        <w:t>Juvenile Idiopathic Arthritis</w:t>
      </w:r>
    </w:p>
    <w:p w:rsidR="00101F95" w:rsidRDefault="00101F95" w:rsidP="00E84AE3">
      <w:pPr>
        <w:pStyle w:val="a6"/>
        <w:numPr>
          <w:ilvl w:val="0"/>
          <w:numId w:val="35"/>
        </w:numPr>
        <w:jc w:val="both"/>
        <w:rPr>
          <w:rFonts w:asciiTheme="majorBidi" w:hAnsiTheme="majorBidi" w:cstheme="majorBidi"/>
          <w:sz w:val="24"/>
          <w:szCs w:val="36"/>
        </w:rPr>
      </w:pPr>
      <w:bookmarkStart w:id="17" w:name="2730642"/>
      <w:bookmarkEnd w:id="17"/>
      <w:r w:rsidRPr="000B6801">
        <w:rPr>
          <w:rFonts w:asciiTheme="majorBidi" w:hAnsiTheme="majorBidi" w:cstheme="majorBidi"/>
          <w:sz w:val="24"/>
          <w:szCs w:val="36"/>
        </w:rPr>
        <w:t>Etanercept is the only anti-TNF agent to be approved by the FDA for the treatment of juvenile idiopathic arthritis. It has been rigorously studied in both short- and long-term clinical trials and has been found to be efficacious when used as monotherapy or as an addition to treatment with methotrexate.</w:t>
      </w:r>
    </w:p>
    <w:p w:rsidR="00E84AE3" w:rsidRDefault="00E84AE3" w:rsidP="00E84AE3">
      <w:pPr>
        <w:pStyle w:val="a6"/>
        <w:numPr>
          <w:ilvl w:val="0"/>
          <w:numId w:val="35"/>
        </w:numPr>
        <w:jc w:val="both"/>
        <w:rPr>
          <w:rFonts w:asciiTheme="majorBidi" w:hAnsiTheme="majorBidi" w:cstheme="majorBidi"/>
          <w:sz w:val="24"/>
          <w:szCs w:val="36"/>
        </w:rPr>
      </w:pPr>
      <w:r>
        <w:rPr>
          <w:rFonts w:asciiTheme="majorBidi" w:hAnsiTheme="majorBidi" w:cstheme="majorBidi"/>
          <w:sz w:val="24"/>
          <w:szCs w:val="36"/>
        </w:rPr>
        <w:t xml:space="preserve">Infliximab, but not etanercept, can be used in JIA associated uveitis </w:t>
      </w:r>
      <w:r>
        <w:rPr>
          <w:rFonts w:asciiTheme="majorBidi" w:hAnsiTheme="majorBidi" w:cstheme="majorBidi"/>
          <w:sz w:val="24"/>
          <w:szCs w:val="36"/>
        </w:rPr>
        <w:sym w:font="Wingdings" w:char="F0FE"/>
      </w:r>
      <w:r>
        <w:rPr>
          <w:rFonts w:asciiTheme="majorBidi" w:hAnsiTheme="majorBidi" w:cstheme="majorBidi"/>
          <w:sz w:val="24"/>
          <w:szCs w:val="36"/>
        </w:rPr>
        <w:t>.</w:t>
      </w:r>
    </w:p>
    <w:p w:rsidR="00A94DAB" w:rsidRPr="00A94DAB" w:rsidRDefault="00A94DAB" w:rsidP="00A94DAB">
      <w:pPr>
        <w:pStyle w:val="a6"/>
        <w:numPr>
          <w:ilvl w:val="0"/>
          <w:numId w:val="35"/>
        </w:numPr>
        <w:rPr>
          <w:rFonts w:asciiTheme="majorBidi" w:hAnsiTheme="majorBidi" w:cstheme="majorBidi"/>
          <w:sz w:val="24"/>
          <w:szCs w:val="36"/>
        </w:rPr>
      </w:pPr>
      <w:r w:rsidRPr="00A94DAB">
        <w:rPr>
          <w:rFonts w:asciiTheme="majorBidi" w:hAnsiTheme="majorBidi" w:cstheme="majorBidi"/>
          <w:sz w:val="24"/>
          <w:szCs w:val="36"/>
        </w:rPr>
        <w:t>Anti TNF are proved to be very effective in poJIA, including those cases resistant to MTX</w:t>
      </w:r>
      <w:r>
        <w:rPr>
          <w:rFonts w:asciiTheme="majorBidi" w:hAnsiTheme="majorBidi" w:cstheme="majorBidi"/>
          <w:sz w:val="24"/>
          <w:szCs w:val="36"/>
        </w:rPr>
        <w:t xml:space="preserve"> </w:t>
      </w:r>
      <w:r>
        <w:rPr>
          <w:rFonts w:asciiTheme="majorBidi" w:hAnsiTheme="majorBidi" w:cstheme="majorBidi"/>
          <w:sz w:val="24"/>
          <w:szCs w:val="36"/>
        </w:rPr>
        <w:sym w:font="Wingdings" w:char="F0FE"/>
      </w:r>
      <w:r w:rsidRPr="00A94DAB">
        <w:rPr>
          <w:rFonts w:asciiTheme="majorBidi" w:hAnsiTheme="majorBidi" w:cstheme="majorBidi"/>
          <w:sz w:val="24"/>
          <w:szCs w:val="36"/>
        </w:rPr>
        <w:t xml:space="preserve">. </w:t>
      </w:r>
    </w:p>
    <w:p w:rsidR="00A94DAB" w:rsidRPr="00A94DAB" w:rsidRDefault="00A94DAB" w:rsidP="00A94DAB">
      <w:pPr>
        <w:pStyle w:val="a6"/>
        <w:numPr>
          <w:ilvl w:val="0"/>
          <w:numId w:val="35"/>
        </w:numPr>
        <w:rPr>
          <w:rFonts w:asciiTheme="majorBidi" w:hAnsiTheme="majorBidi" w:cstheme="majorBidi"/>
          <w:sz w:val="24"/>
          <w:szCs w:val="36"/>
        </w:rPr>
      </w:pPr>
      <w:r w:rsidRPr="00A94DAB">
        <w:rPr>
          <w:rFonts w:asciiTheme="majorBidi" w:hAnsiTheme="majorBidi" w:cstheme="majorBidi"/>
          <w:sz w:val="24"/>
          <w:szCs w:val="36"/>
        </w:rPr>
        <w:t>They are also effective in eJIA, but less effective in sJIA</w:t>
      </w:r>
      <w:r>
        <w:rPr>
          <w:rFonts w:asciiTheme="majorBidi" w:hAnsiTheme="majorBidi" w:cstheme="majorBidi"/>
          <w:sz w:val="24"/>
          <w:szCs w:val="36"/>
        </w:rPr>
        <w:t xml:space="preserve"> </w:t>
      </w:r>
      <w:r>
        <w:rPr>
          <w:rFonts w:asciiTheme="majorBidi" w:hAnsiTheme="majorBidi" w:cstheme="majorBidi"/>
          <w:sz w:val="24"/>
          <w:szCs w:val="36"/>
        </w:rPr>
        <w:sym w:font="Wingdings" w:char="F0FE"/>
      </w:r>
      <w:r w:rsidRPr="00A94DAB">
        <w:rPr>
          <w:rFonts w:asciiTheme="majorBidi" w:hAnsiTheme="majorBidi" w:cstheme="majorBidi"/>
          <w:sz w:val="24"/>
          <w:szCs w:val="36"/>
        </w:rPr>
        <w:t>.</w:t>
      </w:r>
    </w:p>
    <w:p w:rsidR="00A94DAB" w:rsidRPr="00A94DAB" w:rsidRDefault="00A94DAB" w:rsidP="00A94DAB">
      <w:pPr>
        <w:pStyle w:val="a6"/>
        <w:numPr>
          <w:ilvl w:val="0"/>
          <w:numId w:val="35"/>
        </w:numPr>
        <w:rPr>
          <w:rFonts w:asciiTheme="majorBidi" w:hAnsiTheme="majorBidi" w:cstheme="majorBidi"/>
          <w:sz w:val="24"/>
          <w:szCs w:val="36"/>
        </w:rPr>
      </w:pPr>
      <w:r w:rsidRPr="00A94DAB">
        <w:rPr>
          <w:rFonts w:asciiTheme="majorBidi" w:hAnsiTheme="majorBidi" w:cstheme="majorBidi"/>
          <w:sz w:val="24"/>
          <w:szCs w:val="36"/>
        </w:rPr>
        <w:t>Side effects</w:t>
      </w:r>
      <w:r>
        <w:rPr>
          <w:rFonts w:asciiTheme="majorBidi" w:hAnsiTheme="majorBidi" w:cstheme="majorBidi"/>
          <w:sz w:val="24"/>
          <w:szCs w:val="36"/>
        </w:rPr>
        <w:t xml:space="preserve"> </w:t>
      </w:r>
      <w:r>
        <w:rPr>
          <w:rFonts w:asciiTheme="majorBidi" w:hAnsiTheme="majorBidi" w:cstheme="majorBidi"/>
          <w:sz w:val="24"/>
          <w:szCs w:val="36"/>
        </w:rPr>
        <w:sym w:font="Wingdings" w:char="F0FE"/>
      </w:r>
      <w:r w:rsidRPr="00A94DAB">
        <w:rPr>
          <w:rFonts w:asciiTheme="majorBidi" w:hAnsiTheme="majorBidi" w:cstheme="majorBidi"/>
          <w:sz w:val="24"/>
          <w:szCs w:val="36"/>
        </w:rPr>
        <w:t>:</w:t>
      </w:r>
    </w:p>
    <w:p w:rsidR="00A94DAB" w:rsidRPr="00686704" w:rsidRDefault="00A94DAB" w:rsidP="00686704">
      <w:pPr>
        <w:pStyle w:val="a6"/>
        <w:numPr>
          <w:ilvl w:val="1"/>
          <w:numId w:val="25"/>
        </w:numPr>
        <w:jc w:val="both"/>
        <w:rPr>
          <w:rFonts w:asciiTheme="majorBidi" w:hAnsiTheme="majorBidi" w:cstheme="majorBidi"/>
          <w:b/>
          <w:bCs/>
          <w:i/>
          <w:iCs/>
          <w:sz w:val="24"/>
          <w:szCs w:val="36"/>
        </w:rPr>
      </w:pPr>
      <w:r w:rsidRPr="00686704">
        <w:rPr>
          <w:rFonts w:asciiTheme="majorBidi" w:hAnsiTheme="majorBidi" w:cstheme="majorBidi"/>
          <w:b/>
          <w:bCs/>
          <w:i/>
          <w:iCs/>
          <w:sz w:val="24"/>
          <w:szCs w:val="36"/>
        </w:rPr>
        <w:t>Mild:</w:t>
      </w:r>
    </w:p>
    <w:p w:rsidR="00A94DAB" w:rsidRPr="00A94DAB" w:rsidRDefault="00A94DAB" w:rsidP="00686704">
      <w:pPr>
        <w:pStyle w:val="a6"/>
        <w:numPr>
          <w:ilvl w:val="3"/>
          <w:numId w:val="35"/>
        </w:numPr>
        <w:rPr>
          <w:rFonts w:asciiTheme="majorBidi" w:hAnsiTheme="majorBidi" w:cstheme="majorBidi"/>
          <w:sz w:val="24"/>
          <w:szCs w:val="36"/>
        </w:rPr>
      </w:pPr>
      <w:r w:rsidRPr="00A94DAB">
        <w:rPr>
          <w:rFonts w:asciiTheme="majorBidi" w:hAnsiTheme="majorBidi" w:cstheme="majorBidi"/>
          <w:sz w:val="24"/>
          <w:szCs w:val="36"/>
        </w:rPr>
        <w:t>Injection-site inflammation: for etanercept and adalimumab.</w:t>
      </w:r>
    </w:p>
    <w:p w:rsidR="00A94DAB" w:rsidRPr="00A94DAB" w:rsidRDefault="00A94DAB" w:rsidP="00686704">
      <w:pPr>
        <w:pStyle w:val="a6"/>
        <w:numPr>
          <w:ilvl w:val="3"/>
          <w:numId w:val="35"/>
        </w:numPr>
        <w:jc w:val="both"/>
        <w:rPr>
          <w:rFonts w:asciiTheme="majorBidi" w:hAnsiTheme="majorBidi" w:cstheme="majorBidi"/>
          <w:sz w:val="24"/>
          <w:szCs w:val="36"/>
        </w:rPr>
      </w:pPr>
      <w:r w:rsidRPr="00A94DAB">
        <w:rPr>
          <w:rFonts w:asciiTheme="majorBidi" w:hAnsiTheme="majorBidi" w:cstheme="majorBidi"/>
          <w:sz w:val="24"/>
          <w:szCs w:val="36"/>
        </w:rPr>
        <w:t>Injection related allergy: for infliximab. To decrease allergic reaction, premedication with paracetamol, or steroid may be needed.</w:t>
      </w:r>
    </w:p>
    <w:p w:rsidR="00A94DAB" w:rsidRPr="00A94DAB" w:rsidRDefault="00A94DAB" w:rsidP="00686704">
      <w:pPr>
        <w:pStyle w:val="a6"/>
        <w:numPr>
          <w:ilvl w:val="3"/>
          <w:numId w:val="35"/>
        </w:numPr>
        <w:rPr>
          <w:rFonts w:asciiTheme="majorBidi" w:hAnsiTheme="majorBidi" w:cstheme="majorBidi"/>
          <w:sz w:val="24"/>
          <w:szCs w:val="36"/>
        </w:rPr>
      </w:pPr>
      <w:r w:rsidRPr="00A94DAB">
        <w:rPr>
          <w:rFonts w:asciiTheme="majorBidi" w:hAnsiTheme="majorBidi" w:cstheme="majorBidi"/>
          <w:sz w:val="24"/>
          <w:szCs w:val="36"/>
        </w:rPr>
        <w:t>Mild infection (upper respiratory).</w:t>
      </w:r>
    </w:p>
    <w:p w:rsidR="00A94DAB" w:rsidRPr="00A94DAB" w:rsidRDefault="00A94DAB" w:rsidP="00686704">
      <w:pPr>
        <w:pStyle w:val="a6"/>
        <w:numPr>
          <w:ilvl w:val="3"/>
          <w:numId w:val="35"/>
        </w:numPr>
        <w:rPr>
          <w:rFonts w:asciiTheme="majorBidi" w:hAnsiTheme="majorBidi" w:cstheme="majorBidi"/>
          <w:sz w:val="24"/>
          <w:szCs w:val="36"/>
        </w:rPr>
      </w:pPr>
      <w:r w:rsidRPr="00A94DAB">
        <w:rPr>
          <w:rFonts w:asciiTheme="majorBidi" w:hAnsiTheme="majorBidi" w:cstheme="majorBidi"/>
          <w:sz w:val="24"/>
          <w:szCs w:val="36"/>
        </w:rPr>
        <w:t>Headache.</w:t>
      </w:r>
    </w:p>
    <w:p w:rsidR="00A94DAB" w:rsidRPr="00686704" w:rsidRDefault="00A94DAB" w:rsidP="00686704">
      <w:pPr>
        <w:pStyle w:val="a6"/>
        <w:numPr>
          <w:ilvl w:val="1"/>
          <w:numId w:val="25"/>
        </w:numPr>
        <w:jc w:val="both"/>
        <w:rPr>
          <w:rFonts w:asciiTheme="majorBidi" w:hAnsiTheme="majorBidi" w:cstheme="majorBidi"/>
          <w:b/>
          <w:bCs/>
          <w:i/>
          <w:iCs/>
          <w:sz w:val="24"/>
          <w:szCs w:val="36"/>
        </w:rPr>
      </w:pPr>
      <w:r w:rsidRPr="00686704">
        <w:rPr>
          <w:rFonts w:asciiTheme="majorBidi" w:hAnsiTheme="majorBidi" w:cstheme="majorBidi"/>
          <w:b/>
          <w:bCs/>
          <w:i/>
          <w:iCs/>
          <w:sz w:val="24"/>
          <w:szCs w:val="36"/>
        </w:rPr>
        <w:t>Severe:</w:t>
      </w:r>
    </w:p>
    <w:p w:rsidR="00A94DAB" w:rsidRPr="00A94DAB" w:rsidRDefault="00A94DAB" w:rsidP="00686704">
      <w:pPr>
        <w:pStyle w:val="a6"/>
        <w:numPr>
          <w:ilvl w:val="3"/>
          <w:numId w:val="35"/>
        </w:numPr>
        <w:rPr>
          <w:rFonts w:asciiTheme="majorBidi" w:hAnsiTheme="majorBidi" w:cstheme="majorBidi"/>
          <w:sz w:val="24"/>
          <w:szCs w:val="36"/>
        </w:rPr>
      </w:pPr>
      <w:r w:rsidRPr="00A94DAB">
        <w:rPr>
          <w:rFonts w:asciiTheme="majorBidi" w:hAnsiTheme="majorBidi" w:cstheme="majorBidi"/>
          <w:sz w:val="24"/>
          <w:szCs w:val="36"/>
        </w:rPr>
        <w:t>Neurologic (demyelinating) complications.</w:t>
      </w:r>
    </w:p>
    <w:p w:rsidR="00A94DAB" w:rsidRPr="00A94DAB" w:rsidRDefault="00A94DAB" w:rsidP="00686704">
      <w:pPr>
        <w:pStyle w:val="a6"/>
        <w:numPr>
          <w:ilvl w:val="3"/>
          <w:numId w:val="35"/>
        </w:numPr>
        <w:rPr>
          <w:rFonts w:asciiTheme="majorBidi" w:hAnsiTheme="majorBidi" w:cstheme="majorBidi"/>
          <w:sz w:val="24"/>
          <w:szCs w:val="36"/>
        </w:rPr>
      </w:pPr>
      <w:r w:rsidRPr="00A94DAB">
        <w:rPr>
          <w:rFonts w:asciiTheme="majorBidi" w:hAnsiTheme="majorBidi" w:cstheme="majorBidi"/>
          <w:sz w:val="24"/>
          <w:szCs w:val="36"/>
        </w:rPr>
        <w:t>Psychological upset.</w:t>
      </w:r>
    </w:p>
    <w:p w:rsidR="00A94DAB" w:rsidRPr="00A94DAB" w:rsidRDefault="00A94DAB" w:rsidP="00686704">
      <w:pPr>
        <w:pStyle w:val="a6"/>
        <w:numPr>
          <w:ilvl w:val="3"/>
          <w:numId w:val="35"/>
        </w:numPr>
        <w:rPr>
          <w:rFonts w:asciiTheme="majorBidi" w:hAnsiTheme="majorBidi" w:cstheme="majorBidi"/>
          <w:sz w:val="24"/>
          <w:szCs w:val="36"/>
        </w:rPr>
      </w:pPr>
      <w:r w:rsidRPr="00A94DAB">
        <w:rPr>
          <w:rFonts w:asciiTheme="majorBidi" w:hAnsiTheme="majorBidi" w:cstheme="majorBidi"/>
          <w:sz w:val="24"/>
          <w:szCs w:val="36"/>
        </w:rPr>
        <w:t>Severe infections (specially related to varicella).</w:t>
      </w:r>
    </w:p>
    <w:p w:rsidR="00A94DAB" w:rsidRPr="00A94DAB" w:rsidRDefault="00A94DAB" w:rsidP="00686704">
      <w:pPr>
        <w:pStyle w:val="a6"/>
        <w:numPr>
          <w:ilvl w:val="3"/>
          <w:numId w:val="35"/>
        </w:numPr>
        <w:rPr>
          <w:rFonts w:asciiTheme="majorBidi" w:hAnsiTheme="majorBidi" w:cstheme="majorBidi"/>
          <w:sz w:val="24"/>
          <w:szCs w:val="36"/>
        </w:rPr>
      </w:pPr>
      <w:r w:rsidRPr="00A94DAB">
        <w:rPr>
          <w:rFonts w:asciiTheme="majorBidi" w:hAnsiTheme="majorBidi" w:cstheme="majorBidi"/>
          <w:sz w:val="24"/>
          <w:szCs w:val="36"/>
        </w:rPr>
        <w:t>Cutaneous vasculitis.</w:t>
      </w:r>
    </w:p>
    <w:p w:rsidR="00A94DAB" w:rsidRPr="00A94DAB" w:rsidRDefault="00A94DAB" w:rsidP="00686704">
      <w:pPr>
        <w:pStyle w:val="a6"/>
        <w:numPr>
          <w:ilvl w:val="3"/>
          <w:numId w:val="35"/>
        </w:numPr>
        <w:rPr>
          <w:rFonts w:asciiTheme="majorBidi" w:hAnsiTheme="majorBidi" w:cstheme="majorBidi"/>
          <w:sz w:val="24"/>
          <w:szCs w:val="36"/>
        </w:rPr>
      </w:pPr>
      <w:r w:rsidRPr="00A94DAB">
        <w:rPr>
          <w:rFonts w:asciiTheme="majorBidi" w:hAnsiTheme="majorBidi" w:cstheme="majorBidi"/>
          <w:sz w:val="24"/>
          <w:szCs w:val="36"/>
        </w:rPr>
        <w:t>Pancytopenia.</w:t>
      </w:r>
    </w:p>
    <w:p w:rsidR="00A94DAB" w:rsidRPr="00A94DAB" w:rsidRDefault="00A94DAB" w:rsidP="00686704">
      <w:pPr>
        <w:pStyle w:val="a6"/>
        <w:numPr>
          <w:ilvl w:val="3"/>
          <w:numId w:val="35"/>
        </w:numPr>
        <w:rPr>
          <w:rFonts w:asciiTheme="majorBidi" w:hAnsiTheme="majorBidi" w:cstheme="majorBidi"/>
          <w:sz w:val="24"/>
          <w:szCs w:val="36"/>
        </w:rPr>
      </w:pPr>
      <w:r w:rsidRPr="00A94DAB">
        <w:rPr>
          <w:rFonts w:asciiTheme="majorBidi" w:hAnsiTheme="majorBidi" w:cstheme="majorBidi"/>
          <w:sz w:val="24"/>
          <w:szCs w:val="36"/>
        </w:rPr>
        <w:t>Development of other autoimmune diseases.</w:t>
      </w:r>
    </w:p>
    <w:p w:rsidR="00A94DAB" w:rsidRPr="00A94DAB" w:rsidRDefault="00A94DAB" w:rsidP="00686704">
      <w:pPr>
        <w:pStyle w:val="a6"/>
        <w:numPr>
          <w:ilvl w:val="3"/>
          <w:numId w:val="35"/>
        </w:numPr>
        <w:rPr>
          <w:rFonts w:asciiTheme="majorBidi" w:hAnsiTheme="majorBidi" w:cstheme="majorBidi"/>
          <w:sz w:val="24"/>
          <w:szCs w:val="36"/>
        </w:rPr>
      </w:pPr>
      <w:r w:rsidRPr="00A94DAB">
        <w:rPr>
          <w:rFonts w:asciiTheme="majorBidi" w:hAnsiTheme="majorBidi" w:cstheme="majorBidi"/>
          <w:sz w:val="24"/>
          <w:szCs w:val="36"/>
        </w:rPr>
        <w:t>No cases of malignancy is recorded in children.</w:t>
      </w:r>
    </w:p>
    <w:p w:rsidR="00101F95" w:rsidRPr="000B6801" w:rsidRDefault="00101F95" w:rsidP="00101F95">
      <w:pPr>
        <w:pStyle w:val="a6"/>
        <w:numPr>
          <w:ilvl w:val="0"/>
          <w:numId w:val="25"/>
        </w:numPr>
        <w:jc w:val="both"/>
        <w:rPr>
          <w:rFonts w:asciiTheme="majorBidi" w:hAnsiTheme="majorBidi" w:cstheme="majorBidi"/>
          <w:b/>
          <w:bCs/>
          <w:i/>
          <w:iCs/>
          <w:sz w:val="24"/>
          <w:szCs w:val="36"/>
        </w:rPr>
      </w:pPr>
      <w:bookmarkStart w:id="18" w:name="2730643"/>
      <w:bookmarkEnd w:id="18"/>
      <w:r w:rsidRPr="000B6801">
        <w:rPr>
          <w:rFonts w:asciiTheme="majorBidi" w:hAnsiTheme="majorBidi" w:cstheme="majorBidi"/>
          <w:b/>
          <w:bCs/>
          <w:i/>
          <w:iCs/>
          <w:sz w:val="24"/>
          <w:szCs w:val="36"/>
        </w:rPr>
        <w:t>Adult Still Disease</w:t>
      </w:r>
    </w:p>
    <w:p w:rsidR="00101F95" w:rsidRPr="000B6801" w:rsidRDefault="00101F95" w:rsidP="00E84AE3">
      <w:pPr>
        <w:pStyle w:val="a6"/>
        <w:numPr>
          <w:ilvl w:val="0"/>
          <w:numId w:val="35"/>
        </w:numPr>
        <w:jc w:val="both"/>
        <w:rPr>
          <w:rFonts w:asciiTheme="majorBidi" w:hAnsiTheme="majorBidi" w:cstheme="majorBidi"/>
          <w:sz w:val="24"/>
          <w:szCs w:val="36"/>
        </w:rPr>
      </w:pPr>
      <w:bookmarkStart w:id="19" w:name="2730644"/>
      <w:bookmarkEnd w:id="19"/>
      <w:r w:rsidRPr="000B6801">
        <w:rPr>
          <w:rFonts w:asciiTheme="majorBidi" w:hAnsiTheme="majorBidi" w:cstheme="majorBidi"/>
          <w:sz w:val="24"/>
          <w:szCs w:val="36"/>
        </w:rPr>
        <w:t>A small open-label study suggests that etanercept may reduce the signs and symptoms of adult Still disease.</w:t>
      </w:r>
    </w:p>
    <w:p w:rsidR="00101F95" w:rsidRPr="000B6801" w:rsidRDefault="00101F95" w:rsidP="00101F95">
      <w:pPr>
        <w:pStyle w:val="a6"/>
        <w:numPr>
          <w:ilvl w:val="0"/>
          <w:numId w:val="25"/>
        </w:numPr>
        <w:jc w:val="both"/>
        <w:rPr>
          <w:rFonts w:asciiTheme="majorBidi" w:hAnsiTheme="majorBidi" w:cstheme="majorBidi"/>
          <w:b/>
          <w:bCs/>
          <w:i/>
          <w:iCs/>
          <w:sz w:val="24"/>
          <w:szCs w:val="36"/>
        </w:rPr>
      </w:pPr>
      <w:bookmarkStart w:id="20" w:name="2730645"/>
      <w:bookmarkEnd w:id="20"/>
      <w:r w:rsidRPr="000B6801">
        <w:rPr>
          <w:rFonts w:asciiTheme="majorBidi" w:hAnsiTheme="majorBidi" w:cstheme="majorBidi"/>
          <w:b/>
          <w:bCs/>
          <w:i/>
          <w:iCs/>
          <w:sz w:val="24"/>
          <w:szCs w:val="36"/>
        </w:rPr>
        <w:t>Wegener Granulomatosis</w:t>
      </w:r>
    </w:p>
    <w:p w:rsidR="00101F95" w:rsidRPr="000B6801" w:rsidRDefault="00101F95" w:rsidP="00E84AE3">
      <w:pPr>
        <w:pStyle w:val="a6"/>
        <w:numPr>
          <w:ilvl w:val="0"/>
          <w:numId w:val="35"/>
        </w:numPr>
        <w:jc w:val="both"/>
        <w:rPr>
          <w:rFonts w:asciiTheme="majorBidi" w:hAnsiTheme="majorBidi" w:cstheme="majorBidi"/>
          <w:sz w:val="24"/>
          <w:szCs w:val="36"/>
        </w:rPr>
      </w:pPr>
      <w:bookmarkStart w:id="21" w:name="2730646"/>
      <w:bookmarkEnd w:id="21"/>
      <w:r w:rsidRPr="000B6801">
        <w:rPr>
          <w:rFonts w:asciiTheme="majorBidi" w:hAnsiTheme="majorBidi" w:cstheme="majorBidi"/>
          <w:sz w:val="24"/>
          <w:szCs w:val="36"/>
        </w:rPr>
        <w:t xml:space="preserve">A large randomized study of etanercept added to standard therapy for Wegener granulomatosis demonstrated </w:t>
      </w:r>
      <w:r w:rsidR="00E84AE3" w:rsidRPr="00E84AE3">
        <w:rPr>
          <w:rFonts w:asciiTheme="majorBidi" w:hAnsiTheme="majorBidi" w:cstheme="majorBidi"/>
          <w:b/>
          <w:bCs/>
          <w:sz w:val="24"/>
          <w:szCs w:val="36"/>
        </w:rPr>
        <w:t xml:space="preserve">NO </w:t>
      </w:r>
      <w:r w:rsidRPr="000B6801">
        <w:rPr>
          <w:rFonts w:asciiTheme="majorBidi" w:hAnsiTheme="majorBidi" w:cstheme="majorBidi"/>
          <w:sz w:val="24"/>
          <w:szCs w:val="36"/>
        </w:rPr>
        <w:t>additional efficacy in maintaining remission.</w:t>
      </w:r>
    </w:p>
    <w:p w:rsidR="00101F95" w:rsidRPr="000B6801" w:rsidRDefault="00101F95" w:rsidP="00101F95">
      <w:pPr>
        <w:pStyle w:val="a6"/>
        <w:numPr>
          <w:ilvl w:val="0"/>
          <w:numId w:val="2"/>
        </w:numPr>
        <w:jc w:val="both"/>
        <w:rPr>
          <w:rFonts w:asciiTheme="majorBidi" w:hAnsiTheme="majorBidi" w:cstheme="majorBidi"/>
          <w:b/>
          <w:bCs/>
          <w:sz w:val="28"/>
          <w:szCs w:val="36"/>
        </w:rPr>
      </w:pPr>
      <w:bookmarkStart w:id="22" w:name="2730647"/>
      <w:bookmarkEnd w:id="22"/>
      <w:r w:rsidRPr="000B6801">
        <w:rPr>
          <w:rFonts w:asciiTheme="majorBidi" w:hAnsiTheme="majorBidi" w:cstheme="majorBidi"/>
          <w:b/>
          <w:bCs/>
          <w:sz w:val="28"/>
          <w:szCs w:val="36"/>
        </w:rPr>
        <w:t>Dosing</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Etanercept: Given either as a single, 50-mg injection once weekly or as a 25-mg subcutaneous injection twice weekly. Must be refrigerated and reconstituted in sterile solution before being administered.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Infliximab: Infusion is given in a doctor's office or infusion center and takes approximately 2–3 hours to complete. Administered as an intravenous infusion beginning with a loading dose of 3 mg/kg at 0, 2, and 6 weeks. Dosing is usually maintained at 3 mg/kg every 8 weeks. Flexibility in dosing allows for the dose to be increased up to 10 mg/kg and/or the interval decreased to as little as every 4 weeks, depending on response to therapy.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Adalimumab: Given as a single, 40-mg subcutaneous injection once every other week. Medication comes preloaded in a syringe, does not need to be reconstituted, and should be refrigerated before use. Dosing flexibility allows the medication to be given as often as 40 mg every week as clinical conditions warrant.</w:t>
      </w:r>
    </w:p>
    <w:p w:rsidR="00101F95" w:rsidRPr="000B6801" w:rsidRDefault="00101F95" w:rsidP="00101F95">
      <w:pPr>
        <w:pStyle w:val="a6"/>
        <w:numPr>
          <w:ilvl w:val="0"/>
          <w:numId w:val="2"/>
        </w:numPr>
        <w:jc w:val="both"/>
        <w:rPr>
          <w:rFonts w:asciiTheme="majorBidi" w:hAnsiTheme="majorBidi" w:cstheme="majorBidi"/>
          <w:b/>
          <w:bCs/>
          <w:sz w:val="28"/>
          <w:szCs w:val="36"/>
        </w:rPr>
      </w:pPr>
      <w:bookmarkStart w:id="23" w:name="2730648"/>
      <w:bookmarkEnd w:id="23"/>
      <w:r w:rsidRPr="000B6801">
        <w:rPr>
          <w:rFonts w:asciiTheme="majorBidi" w:hAnsiTheme="majorBidi" w:cstheme="majorBidi"/>
          <w:b/>
          <w:bCs/>
          <w:sz w:val="28"/>
          <w:szCs w:val="36"/>
        </w:rPr>
        <w:t>Initiating Therapy</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The risk of reactivation of latent tuberculosis should be assessed and should include, at a minimum, a baseline purified protein derivative prior to initiation of therapy. Many physicians obtain a chest radiograph as well.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The risk of latent histoplasmosis and coccidioidomycosis infection should be considered in patients from endemic regions.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No baseline or routine laboratory testing is officially recommended.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Age-appropriate cancer screening, while not officially recommended, may be of benefit prior to initiating therapy.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Patients are recommended not to receive live vaccinations after initiating or continuing therapy.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Patients should be monitored for injection site or infusion reactions while receiving therapy.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Anti-TNF agents should not be used in patients with a history of multiple sclerosis of any other demyelinating disease.</w:t>
      </w:r>
    </w:p>
    <w:p w:rsidR="00101F95" w:rsidRPr="000B6801" w:rsidRDefault="00101F95" w:rsidP="00101F95">
      <w:pPr>
        <w:pStyle w:val="a6"/>
        <w:numPr>
          <w:ilvl w:val="0"/>
          <w:numId w:val="2"/>
        </w:numPr>
        <w:jc w:val="both"/>
        <w:rPr>
          <w:rFonts w:asciiTheme="majorBidi" w:hAnsiTheme="majorBidi" w:cstheme="majorBidi"/>
          <w:b/>
          <w:bCs/>
          <w:sz w:val="28"/>
          <w:szCs w:val="36"/>
        </w:rPr>
      </w:pPr>
      <w:bookmarkStart w:id="24" w:name="2730649"/>
      <w:bookmarkEnd w:id="24"/>
      <w:r w:rsidRPr="000B6801">
        <w:rPr>
          <w:rFonts w:asciiTheme="majorBidi" w:hAnsiTheme="majorBidi" w:cstheme="majorBidi"/>
          <w:b/>
          <w:bCs/>
          <w:sz w:val="28"/>
          <w:szCs w:val="36"/>
        </w:rPr>
        <w:t>Special Precautions</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TNF antagonists should not be used in patients with a history of latent tuberculosis unless they have completed an adequate course of prophylactic therapy.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The TNF antagonists are contraindicated in patients with active acute or chronic infections.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Patients receiving infliximab should have baseline screening for infection, including temperature and symptom assessment, prior to each infusion.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Patients should be instructed to contact their physician if any symptoms of acute infection develop.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The anti-TNF agents should not be used in patients with active or suspected malignancies.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Hypersensitivity to an anti-TNF agent is a contraindication to its use.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Patients with previous allergies to mouse-derived products should not receive infliximab.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All anti-TNF agents are pregnancy category B.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The use of anti-TNF agents in the setting of hepatic disease or renal failure has not been studied.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Infliximab is specifically contraindicated in patients with moderate or severe congestive heart failure; extreme caution should be exercised for the other anti-TNF agents in this setting.</w:t>
      </w:r>
    </w:p>
    <w:p w:rsidR="00101F95" w:rsidRPr="000B6801" w:rsidRDefault="00101F95" w:rsidP="00101F95">
      <w:pPr>
        <w:pStyle w:val="a6"/>
        <w:numPr>
          <w:ilvl w:val="0"/>
          <w:numId w:val="2"/>
        </w:numPr>
        <w:jc w:val="both"/>
        <w:rPr>
          <w:rFonts w:asciiTheme="majorBidi" w:hAnsiTheme="majorBidi" w:cstheme="majorBidi"/>
          <w:b/>
          <w:bCs/>
          <w:sz w:val="28"/>
          <w:szCs w:val="36"/>
        </w:rPr>
      </w:pPr>
      <w:bookmarkStart w:id="25" w:name="2730650"/>
      <w:bookmarkEnd w:id="25"/>
      <w:r w:rsidRPr="000B6801">
        <w:rPr>
          <w:rFonts w:asciiTheme="majorBidi" w:hAnsiTheme="majorBidi" w:cstheme="majorBidi"/>
          <w:b/>
          <w:bCs/>
          <w:sz w:val="28"/>
          <w:szCs w:val="36"/>
        </w:rPr>
        <w:t>Complications</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Post-marketing surveillance of these agents has reported hospitalizations and deaths from serious infections, although randomized trials have not demonstrated an increased frequency of serious infections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Blockade of TNF poses a theoretical risk of increased malignancy. There are post-marketing reports of lymphomas developing in patients treated with either etanercept or infliximab, but it remains to be determined if there is an actual increase in the incidence of malignancy.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Etanercept and adalimumab are associated with a high degree of mild to moderate injection site reactions, including erythema, pruritus, pain, and/or swelling, reactions which are commonly self-limiting, early in the course of therapy.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Infliximab is associated with a significant incidence of infusion reactions within 1–2 hours after receiving the therapy, including fever, chills, urticaria, and cardiopulmonary symptoms.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Infliximab has been linked to a serum-sickness type of syndrome.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The use of the anti-TNF agents, especially infliximab, can lead to the development of antibodies to the agent. Whether these antibodies influence efficacy or adverse reactions is uncertain.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Anti-TNF agents can induce antinuclear antibodies and other autoantibodies, and rarely, a lupuslike syndrome.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Use of anti-TNF agents may worsen symptoms of congestive heart failure.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Rarely, a demyelinating syndrome has been observed in patients using anti-TNF agents.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Cytopenias and aplastic anemia have been reported in sporadic cases of patients on anti-TNF agents.</w:t>
      </w:r>
    </w:p>
    <w:p w:rsidR="00101F95" w:rsidRPr="000B6801" w:rsidRDefault="00101F95" w:rsidP="00101F95">
      <w:pPr>
        <w:pStyle w:val="a6"/>
        <w:numPr>
          <w:ilvl w:val="0"/>
          <w:numId w:val="2"/>
        </w:numPr>
        <w:jc w:val="both"/>
        <w:rPr>
          <w:rFonts w:asciiTheme="majorBidi" w:hAnsiTheme="majorBidi" w:cstheme="majorBidi"/>
          <w:b/>
          <w:bCs/>
          <w:sz w:val="28"/>
          <w:szCs w:val="36"/>
        </w:rPr>
      </w:pPr>
      <w:bookmarkStart w:id="26" w:name="2730651"/>
      <w:bookmarkEnd w:id="26"/>
      <w:r w:rsidRPr="000B6801">
        <w:rPr>
          <w:rFonts w:asciiTheme="majorBidi" w:hAnsiTheme="majorBidi" w:cstheme="majorBidi"/>
          <w:b/>
          <w:bCs/>
          <w:sz w:val="28"/>
          <w:szCs w:val="36"/>
        </w:rPr>
        <w:t>Discontinuing Therapy</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TNF antagonists should be discontinued if active infection, malignancy, or a serious adverse event develops. </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Because of their relatively long half-lives, the immunosuppressive effects of infliximab and adalimumab should be considered when evaluating and treating those patients who have recently discontinued use of the drugs.</w:t>
      </w:r>
    </w:p>
    <w:p w:rsidR="00101F95" w:rsidRPr="000B6801" w:rsidRDefault="00101F95" w:rsidP="00101F95">
      <w:pPr>
        <w:pStyle w:val="a6"/>
        <w:numPr>
          <w:ilvl w:val="0"/>
          <w:numId w:val="2"/>
        </w:numPr>
        <w:jc w:val="both"/>
        <w:rPr>
          <w:rFonts w:asciiTheme="majorBidi" w:hAnsiTheme="majorBidi" w:cstheme="majorBidi"/>
          <w:b/>
          <w:bCs/>
          <w:sz w:val="28"/>
          <w:szCs w:val="36"/>
        </w:rPr>
      </w:pPr>
      <w:bookmarkStart w:id="27" w:name="2730652"/>
      <w:bookmarkEnd w:id="27"/>
      <w:r w:rsidRPr="000B6801">
        <w:rPr>
          <w:rFonts w:asciiTheme="majorBidi" w:hAnsiTheme="majorBidi" w:cstheme="majorBidi"/>
          <w:b/>
          <w:bCs/>
          <w:sz w:val="28"/>
          <w:szCs w:val="36"/>
        </w:rPr>
        <w:t>Summary</w:t>
      </w:r>
    </w:p>
    <w:p w:rsidR="00101F95" w:rsidRPr="000B6801"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 xml:space="preserve">The TNF antagonists are effective in reducing the signs and symptoms and inhibiting structural joint damage of patients with moderate or severe rheumatoid arthritis. They are of proven efficacy in controlling the signs and symptoms of ankylosing spondylitis and psoriatic arthritis. </w:t>
      </w:r>
    </w:p>
    <w:p w:rsidR="00101F95" w:rsidRDefault="00101F95" w:rsidP="00101F95">
      <w:pPr>
        <w:pStyle w:val="a6"/>
        <w:numPr>
          <w:ilvl w:val="0"/>
          <w:numId w:val="20"/>
        </w:numPr>
        <w:jc w:val="both"/>
        <w:rPr>
          <w:rFonts w:asciiTheme="majorBidi" w:hAnsiTheme="majorBidi" w:cstheme="majorBidi"/>
          <w:sz w:val="24"/>
          <w:szCs w:val="36"/>
        </w:rPr>
      </w:pPr>
      <w:r w:rsidRPr="000B6801">
        <w:rPr>
          <w:rFonts w:asciiTheme="majorBidi" w:hAnsiTheme="majorBidi" w:cstheme="majorBidi"/>
          <w:sz w:val="24"/>
          <w:szCs w:val="36"/>
        </w:rPr>
        <w:t>Lack of long-term safety data, need for parenteral administration, and high cost should be considered when tailoring this therapy to specific patients.</w:t>
      </w:r>
    </w:p>
    <w:p w:rsidR="00557F0A" w:rsidRDefault="00557F0A" w:rsidP="00557F0A">
      <w:pPr>
        <w:jc w:val="center"/>
        <w:rPr>
          <w:rFonts w:ascii="Times New Roman" w:hAnsi="Times New Roman" w:cs="Times New Roman"/>
          <w:b/>
          <w:bCs/>
          <w:sz w:val="24"/>
          <w:szCs w:val="36"/>
          <w:rtl/>
          <w:lang w:bidi="ar-EG"/>
        </w:rPr>
      </w:pPr>
      <w:r>
        <w:rPr>
          <w:rFonts w:ascii="Times New Roman" w:hAnsi="Times New Roman" w:cs="Times New Roman" w:hint="cs"/>
          <w:b/>
          <w:bCs/>
          <w:sz w:val="24"/>
          <w:szCs w:val="36"/>
          <w:rtl/>
          <w:lang w:bidi="ar-EG"/>
        </w:rPr>
        <w:t>وآخر دعوانا أن الحمد لله رب العالمين</w:t>
      </w:r>
    </w:p>
    <w:p w:rsidR="00557F0A" w:rsidRPr="00E85809" w:rsidRDefault="00557F0A" w:rsidP="00557F0A">
      <w:pPr>
        <w:rPr>
          <w:rFonts w:ascii="Times New Roman" w:hAnsi="Times New Roman" w:cs="Al-Kharashi 35"/>
          <w:b/>
          <w:bCs/>
          <w:sz w:val="24"/>
          <w:szCs w:val="28"/>
          <w:lang w:bidi="ar-EG"/>
        </w:rPr>
      </w:pPr>
      <w:r w:rsidRPr="00E85809">
        <w:rPr>
          <w:rFonts w:ascii="Times New Roman" w:hAnsi="Times New Roman" w:cs="Al-Kharashi 35" w:hint="cs"/>
          <w:b/>
          <w:bCs/>
          <w:sz w:val="24"/>
          <w:szCs w:val="28"/>
          <w:rtl/>
          <w:lang w:bidi="ar-EG"/>
        </w:rPr>
        <w:t>د. أحمد رشدي العجمي</w:t>
      </w:r>
    </w:p>
    <w:p w:rsidR="0094137E" w:rsidRPr="00FA6E7D" w:rsidRDefault="00FA6E7D" w:rsidP="002E686B">
      <w:pPr>
        <w:jc w:val="center"/>
        <w:rPr>
          <w:rFonts w:asciiTheme="majorBidi" w:hAnsiTheme="majorBidi" w:cstheme="majorBidi"/>
          <w:sz w:val="18"/>
          <w:szCs w:val="36"/>
        </w:rPr>
      </w:pPr>
      <w:r w:rsidRPr="00FA6E7D">
        <w:rPr>
          <w:rFonts w:asciiTheme="majorBidi" w:hAnsiTheme="majorBidi" w:cstheme="majorBidi"/>
          <w:sz w:val="18"/>
          <w:szCs w:val="36"/>
        </w:rPr>
        <w:t xml:space="preserve">N.B. for all writings of this series, </w:t>
      </w:r>
      <w:r w:rsidR="002E686B" w:rsidRPr="002E686B">
        <w:rPr>
          <w:rFonts w:asciiTheme="majorBidi" w:hAnsiTheme="majorBidi" w:cstheme="majorBidi"/>
          <w:sz w:val="18"/>
          <w:szCs w:val="36"/>
        </w:rPr>
        <w:sym w:font="Wingdings" w:char="F0FE"/>
      </w:r>
      <w:r w:rsidR="002E686B">
        <w:rPr>
          <w:rFonts w:asciiTheme="majorBidi" w:hAnsiTheme="majorBidi" w:cstheme="majorBidi"/>
          <w:sz w:val="18"/>
          <w:szCs w:val="36"/>
          <w:vertAlign w:val="superscript"/>
        </w:rPr>
        <w:t xml:space="preserve"> </w:t>
      </w:r>
      <w:r w:rsidR="002E686B">
        <w:rPr>
          <w:rFonts w:asciiTheme="majorBidi" w:hAnsiTheme="majorBidi" w:cstheme="majorBidi"/>
          <w:sz w:val="18"/>
          <w:szCs w:val="36"/>
          <w:vertAlign w:val="subscript"/>
        </w:rPr>
        <w:t xml:space="preserve"> </w:t>
      </w:r>
      <w:r w:rsidR="002E686B">
        <w:rPr>
          <w:rFonts w:asciiTheme="majorBidi" w:hAnsiTheme="majorBidi" w:cstheme="majorBidi"/>
          <w:sz w:val="18"/>
          <w:szCs w:val="36"/>
        </w:rPr>
        <w:t xml:space="preserve">refers to (Primer on the rheumatic diseases) </w:t>
      </w:r>
      <w:r w:rsidRPr="00FA6E7D">
        <w:rPr>
          <w:rFonts w:asciiTheme="majorBidi" w:hAnsiTheme="majorBidi" w:cstheme="majorBidi"/>
          <w:sz w:val="18"/>
          <w:szCs w:val="36"/>
        </w:rPr>
        <w:t>© refer to (current of rheumatology) and $ refers to (rheumatology secrets)</w:t>
      </w:r>
      <w:r w:rsidR="00EC24E3">
        <w:rPr>
          <w:rFonts w:asciiTheme="majorBidi" w:hAnsiTheme="majorBidi" w:cstheme="majorBidi"/>
          <w:sz w:val="18"/>
          <w:szCs w:val="36"/>
        </w:rPr>
        <w:t xml:space="preserve">. Also </w:t>
      </w:r>
      <w:r w:rsidR="00EC24E3" w:rsidRPr="00EC24E3">
        <w:rPr>
          <w:rFonts w:asciiTheme="majorBidi" w:hAnsiTheme="majorBidi" w:cstheme="majorBidi"/>
          <w:sz w:val="18"/>
          <w:szCs w:val="36"/>
        </w:rPr>
        <w:sym w:font="Wingdings" w:char="F04A"/>
      </w:r>
      <w:r w:rsidR="00EC24E3">
        <w:rPr>
          <w:rFonts w:asciiTheme="majorBidi" w:hAnsiTheme="majorBidi" w:cstheme="majorBidi"/>
          <w:sz w:val="18"/>
          <w:szCs w:val="36"/>
        </w:rPr>
        <w:t xml:space="preserve"> refers to conference talks by some professors.</w:t>
      </w:r>
    </w:p>
    <w:sectPr w:rsidR="0094137E" w:rsidRPr="00FA6E7D" w:rsidSect="008168A7">
      <w:headerReference w:type="even" r:id="rId8"/>
      <w:headerReference w:type="default" r:id="rId9"/>
      <w:footerReference w:type="even" r:id="rId10"/>
      <w:footerReference w:type="default" r:id="rId11"/>
      <w:pgSz w:w="11907" w:h="16839" w:code="9"/>
      <w:pgMar w:top="1098"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2CC" w:rsidRDefault="001A02CC" w:rsidP="00C85CDC">
      <w:pPr>
        <w:spacing w:after="0" w:line="240" w:lineRule="auto"/>
      </w:pPr>
      <w:r>
        <w:separator/>
      </w:r>
    </w:p>
  </w:endnote>
  <w:endnote w:type="continuationSeparator" w:id="1">
    <w:p w:rsidR="001A02CC" w:rsidRDefault="001A02CC" w:rsidP="00C85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MBOLS A">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l-Kharashi 35">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658"/>
      <w:docPartObj>
        <w:docPartGallery w:val="Page Numbers (Bottom of Page)"/>
        <w:docPartUnique/>
      </w:docPartObj>
    </w:sdtPr>
    <w:sdtContent>
      <w:p w:rsidR="00F568FE" w:rsidRDefault="005E2133">
        <w:pPr>
          <w:pStyle w:val="a5"/>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3074" type="#_x0000_t5" style="position:absolute;margin-left:0;margin-top:0;width:167.4pt;height:161.8pt;flip:x;z-index:251662336;mso-position-horizontal:left;mso-position-horizontal-relative:page;mso-position-vertical:bottom;mso-position-vertical-relative:page" adj="21600" fillcolor="#548dd4 [1951]" stroked="f">
              <v:textbox style="mso-next-textbox:#_x0000_s3074">
                <w:txbxContent>
                  <w:p w:rsidR="00F568FE" w:rsidRDefault="005E2133">
                    <w:pPr>
                      <w:jc w:val="center"/>
                      <w:rPr>
                        <w:szCs w:val="72"/>
                      </w:rPr>
                    </w:pPr>
                    <w:fldSimple w:instr=" PAGE    \* MERGEFORMAT ">
                      <w:r w:rsidR="00686704" w:rsidRPr="00686704">
                        <w:rPr>
                          <w:rFonts w:asciiTheme="majorHAnsi" w:hAnsiTheme="majorHAnsi" w:cs="Cambria"/>
                          <w:noProof/>
                          <w:color w:val="FFFFFF" w:themeColor="background1"/>
                          <w:sz w:val="72"/>
                          <w:szCs w:val="72"/>
                          <w:lang w:val="ar-SA"/>
                        </w:rPr>
                        <w:t>4</w:t>
                      </w:r>
                    </w:fldSimple>
                  </w:p>
                </w:txbxContent>
              </v:textbox>
              <w10:wrap anchorx="page"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657"/>
      <w:docPartObj>
        <w:docPartGallery w:val="Page Numbers (Bottom of Page)"/>
        <w:docPartUnique/>
      </w:docPartObj>
    </w:sdtPr>
    <w:sdtContent>
      <w:p w:rsidR="00F568FE" w:rsidRDefault="005E2133">
        <w:pPr>
          <w:pStyle w:val="a5"/>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3073" type="#_x0000_t5" style="position:absolute;margin-left:3694.6pt;margin-top:0;width:167.4pt;height:161.8pt;z-index:251660288;mso-position-horizontal:right;mso-position-horizontal-relative:page;mso-position-vertical:bottom;mso-position-vertical-relative:page" adj="21600" fillcolor="#548dd4 [1951]" stroked="f">
              <v:textbox style="mso-next-textbox:#_x0000_s3073">
                <w:txbxContent>
                  <w:p w:rsidR="00F568FE" w:rsidRDefault="005E2133">
                    <w:pPr>
                      <w:jc w:val="center"/>
                      <w:rPr>
                        <w:szCs w:val="72"/>
                      </w:rPr>
                    </w:pPr>
                    <w:fldSimple w:instr=" PAGE    \* MERGEFORMAT ">
                      <w:r w:rsidR="001A02CC" w:rsidRPr="001A02CC">
                        <w:rPr>
                          <w:rFonts w:asciiTheme="majorHAnsi" w:hAnsiTheme="majorHAnsi" w:cs="Cambria"/>
                          <w:noProof/>
                          <w:color w:val="FFFFFF" w:themeColor="background1"/>
                          <w:sz w:val="72"/>
                          <w:szCs w:val="72"/>
                          <w:lang w:val="ar-SA"/>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2CC" w:rsidRDefault="001A02CC" w:rsidP="00C85CDC">
      <w:pPr>
        <w:spacing w:after="0" w:line="240" w:lineRule="auto"/>
      </w:pPr>
      <w:r>
        <w:separator/>
      </w:r>
    </w:p>
  </w:footnote>
  <w:footnote w:type="continuationSeparator" w:id="1">
    <w:p w:rsidR="001A02CC" w:rsidRDefault="001A02CC" w:rsidP="00C85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8FE" w:rsidRPr="00101F95" w:rsidRDefault="00101F95" w:rsidP="00101F95">
    <w:pPr>
      <w:pStyle w:val="a4"/>
      <w:pBdr>
        <w:bottom w:val="double" w:sz="6" w:space="1" w:color="auto"/>
      </w:pBdr>
      <w:tabs>
        <w:tab w:val="clear" w:pos="8640"/>
        <w:tab w:val="left" w:pos="3516"/>
        <w:tab w:val="right" w:pos="8364"/>
      </w:tabs>
      <w:rPr>
        <w:sz w:val="24"/>
      </w:rPr>
    </w:pPr>
    <w:r>
      <w:rPr>
        <w:sz w:val="24"/>
      </w:rPr>
      <w:t>Biological Medications for Treatment of Rheumatic Diseases</w:t>
    </w:r>
    <w:r w:rsidRPr="00EC320B">
      <w:rPr>
        <w:sz w:val="24"/>
      </w:rPr>
      <w:tab/>
      <w:t>Ahmed R. Al-Agamy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8FE" w:rsidRPr="00EC320B" w:rsidRDefault="00101F95" w:rsidP="00101F95">
    <w:pPr>
      <w:pStyle w:val="a4"/>
      <w:pBdr>
        <w:bottom w:val="double" w:sz="6" w:space="1" w:color="auto"/>
      </w:pBdr>
      <w:tabs>
        <w:tab w:val="clear" w:pos="8640"/>
        <w:tab w:val="left" w:pos="3516"/>
        <w:tab w:val="right" w:pos="8364"/>
      </w:tabs>
      <w:rPr>
        <w:sz w:val="24"/>
      </w:rPr>
    </w:pPr>
    <w:r>
      <w:rPr>
        <w:sz w:val="24"/>
      </w:rPr>
      <w:t>Biological Medications for Treatment of Rheumatic Diseases</w:t>
    </w:r>
    <w:r w:rsidR="00F568FE" w:rsidRPr="00EC320B">
      <w:rPr>
        <w:sz w:val="24"/>
      </w:rPr>
      <w:tab/>
      <w:t>Ahmed R. Al-Agamy</w:t>
    </w:r>
  </w:p>
  <w:p w:rsidR="00F568FE" w:rsidRPr="00822223" w:rsidRDefault="00F568FE">
    <w:pPr>
      <w:pStyle w:val="a4"/>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9pt;height:9.9pt" o:bullet="t">
        <v:imagedata r:id="rId1" o:title="BD21298_"/>
      </v:shape>
    </w:pict>
  </w:numPicBullet>
  <w:abstractNum w:abstractNumId="0">
    <w:nsid w:val="05483BC5"/>
    <w:multiLevelType w:val="hybridMultilevel"/>
    <w:tmpl w:val="5B123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C8474F"/>
    <w:multiLevelType w:val="hybridMultilevel"/>
    <w:tmpl w:val="C8E4657E"/>
    <w:lvl w:ilvl="0" w:tplc="2514F01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DA242D"/>
    <w:multiLevelType w:val="hybridMultilevel"/>
    <w:tmpl w:val="341EC310"/>
    <w:lvl w:ilvl="0" w:tplc="7674CEE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BC77398"/>
    <w:multiLevelType w:val="multilevel"/>
    <w:tmpl w:val="D878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E06B8"/>
    <w:multiLevelType w:val="hybridMultilevel"/>
    <w:tmpl w:val="29BEECD8"/>
    <w:lvl w:ilvl="0" w:tplc="18747E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2245DF"/>
    <w:multiLevelType w:val="hybridMultilevel"/>
    <w:tmpl w:val="5EC4006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EB458C"/>
    <w:multiLevelType w:val="hybridMultilevel"/>
    <w:tmpl w:val="DBBC6698"/>
    <w:lvl w:ilvl="0" w:tplc="608C444E">
      <w:numFmt w:val="bullet"/>
      <w:lvlText w:val=""/>
      <w:lvlJc w:val="left"/>
      <w:pPr>
        <w:ind w:left="1800" w:hanging="360"/>
      </w:pPr>
      <w:rPr>
        <w:rFonts w:ascii="Wingdings" w:eastAsiaTheme="minorHAnsi" w:hAnsi="Wingdings"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58D0479"/>
    <w:multiLevelType w:val="hybridMultilevel"/>
    <w:tmpl w:val="5B0A257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D254C1"/>
    <w:multiLevelType w:val="hybridMultilevel"/>
    <w:tmpl w:val="286634A0"/>
    <w:lvl w:ilvl="0" w:tplc="34A874B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8E407B4"/>
    <w:multiLevelType w:val="hybridMultilevel"/>
    <w:tmpl w:val="7D0EF850"/>
    <w:lvl w:ilvl="0" w:tplc="18E43F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E47A6"/>
    <w:multiLevelType w:val="hybridMultilevel"/>
    <w:tmpl w:val="D7EE5346"/>
    <w:lvl w:ilvl="0" w:tplc="15A24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2740CE"/>
    <w:multiLevelType w:val="hybridMultilevel"/>
    <w:tmpl w:val="0D442C64"/>
    <w:lvl w:ilvl="0" w:tplc="1BBEBC8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10B596A"/>
    <w:multiLevelType w:val="hybridMultilevel"/>
    <w:tmpl w:val="0F3480DC"/>
    <w:lvl w:ilvl="0" w:tplc="202A47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2C51CC7"/>
    <w:multiLevelType w:val="hybridMultilevel"/>
    <w:tmpl w:val="321A6320"/>
    <w:lvl w:ilvl="0" w:tplc="1BA855E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2E27516"/>
    <w:multiLevelType w:val="multilevel"/>
    <w:tmpl w:val="34D6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313E20"/>
    <w:multiLevelType w:val="hybridMultilevel"/>
    <w:tmpl w:val="5C583A24"/>
    <w:lvl w:ilvl="0" w:tplc="1AB4CBA6">
      <w:start w:val="1"/>
      <w:numFmt w:val="bullet"/>
      <w:lvlText w:val=""/>
      <w:lvlJc w:val="left"/>
      <w:pPr>
        <w:ind w:left="1494" w:hanging="360"/>
      </w:pPr>
      <w:rPr>
        <w:rFonts w:ascii="Wingdings" w:eastAsiaTheme="minorHAnsi" w:hAnsi="Wingdings" w:cstheme="majorBidi"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nsid w:val="29280BB0"/>
    <w:multiLevelType w:val="hybridMultilevel"/>
    <w:tmpl w:val="F85A2B1E"/>
    <w:lvl w:ilvl="0" w:tplc="1076F2DA">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4538B0"/>
    <w:multiLevelType w:val="multilevel"/>
    <w:tmpl w:val="B028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453256"/>
    <w:multiLevelType w:val="multilevel"/>
    <w:tmpl w:val="7CDE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AC0701"/>
    <w:multiLevelType w:val="multilevel"/>
    <w:tmpl w:val="DEAA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973BA0"/>
    <w:multiLevelType w:val="hybridMultilevel"/>
    <w:tmpl w:val="A54CC05A"/>
    <w:lvl w:ilvl="0" w:tplc="6284DE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F526B0"/>
    <w:multiLevelType w:val="hybridMultilevel"/>
    <w:tmpl w:val="EC22548E"/>
    <w:lvl w:ilvl="0" w:tplc="D5803230">
      <w:numFmt w:val="bullet"/>
      <w:lvlText w:val=""/>
      <w:lvlJc w:val="left"/>
      <w:pPr>
        <w:ind w:left="720" w:hanging="360"/>
      </w:pPr>
      <w:rPr>
        <w:rFonts w:ascii="Wingdings" w:eastAsiaTheme="minorHAnsi" w:hAnsi="Wingdings"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8B2794"/>
    <w:multiLevelType w:val="hybridMultilevel"/>
    <w:tmpl w:val="D96800F6"/>
    <w:lvl w:ilvl="0" w:tplc="C1AEC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2117E1"/>
    <w:multiLevelType w:val="hybridMultilevel"/>
    <w:tmpl w:val="903CCAC8"/>
    <w:lvl w:ilvl="0" w:tplc="C300734C">
      <w:numFmt w:val="bullet"/>
      <w:lvlText w:val=""/>
      <w:lvlJc w:val="left"/>
      <w:pPr>
        <w:ind w:left="720" w:hanging="360"/>
      </w:pPr>
      <w:rPr>
        <w:rFonts w:ascii="Wingdings" w:eastAsiaTheme="minorHAnsi" w:hAnsi="Wingdings" w:cstheme="maj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065B27"/>
    <w:multiLevelType w:val="multilevel"/>
    <w:tmpl w:val="4DB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932DD9"/>
    <w:multiLevelType w:val="hybridMultilevel"/>
    <w:tmpl w:val="4BD82540"/>
    <w:lvl w:ilvl="0" w:tplc="130062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34B4709"/>
    <w:multiLevelType w:val="hybridMultilevel"/>
    <w:tmpl w:val="3DA671C6"/>
    <w:lvl w:ilvl="0" w:tplc="7BA6F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CCE42B4"/>
    <w:multiLevelType w:val="hybridMultilevel"/>
    <w:tmpl w:val="823833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2E24B5"/>
    <w:multiLevelType w:val="hybridMultilevel"/>
    <w:tmpl w:val="FB9085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977A71"/>
    <w:multiLevelType w:val="multilevel"/>
    <w:tmpl w:val="02F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A771A2"/>
    <w:multiLevelType w:val="multilevel"/>
    <w:tmpl w:val="59FE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870621"/>
    <w:multiLevelType w:val="hybridMultilevel"/>
    <w:tmpl w:val="785E2906"/>
    <w:lvl w:ilvl="0" w:tplc="ADD2F5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B046E16"/>
    <w:multiLevelType w:val="multilevel"/>
    <w:tmpl w:val="479C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CC57DD"/>
    <w:multiLevelType w:val="hybridMultilevel"/>
    <w:tmpl w:val="B992CB62"/>
    <w:lvl w:ilvl="0" w:tplc="54EA1D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F6C720D"/>
    <w:multiLevelType w:val="hybridMultilevel"/>
    <w:tmpl w:val="76725A40"/>
    <w:lvl w:ilvl="0" w:tplc="2514F012">
      <w:start w:val="1"/>
      <w:numFmt w:val="bullet"/>
      <w:lvlText w:val=""/>
      <w:lvlJc w:val="left"/>
      <w:pPr>
        <w:ind w:left="764" w:hanging="360"/>
      </w:pPr>
      <w:rPr>
        <w:rFonts w:ascii="Wingdings" w:hAnsi="Wingdings"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5">
    <w:nsid w:val="604926AE"/>
    <w:multiLevelType w:val="hybridMultilevel"/>
    <w:tmpl w:val="4038086C"/>
    <w:lvl w:ilvl="0" w:tplc="7B1C47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4D17048"/>
    <w:multiLevelType w:val="hybridMultilevel"/>
    <w:tmpl w:val="624C8C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577915"/>
    <w:multiLevelType w:val="hybridMultilevel"/>
    <w:tmpl w:val="622A78B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87E7EC9"/>
    <w:multiLevelType w:val="hybridMultilevel"/>
    <w:tmpl w:val="6FC2FE08"/>
    <w:lvl w:ilvl="0" w:tplc="AC3AAEF0">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692C02F1"/>
    <w:multiLevelType w:val="hybridMultilevel"/>
    <w:tmpl w:val="FBEE70EA"/>
    <w:lvl w:ilvl="0" w:tplc="DE04E73E">
      <w:start w:val="1"/>
      <w:numFmt w:val="bullet"/>
      <w:lvlText w:val="@"/>
      <w:lvlJc w:val="left"/>
      <w:pPr>
        <w:ind w:left="1080" w:hanging="360"/>
      </w:pPr>
      <w:rPr>
        <w:rFonts w:ascii="SYMBOLS A" w:hAnsi="SYMBOLS A" w:hint="default"/>
      </w:rPr>
    </w:lvl>
    <w:lvl w:ilvl="1" w:tplc="04090003">
      <w:start w:val="1"/>
      <w:numFmt w:val="bullet"/>
      <w:lvlText w:val="o"/>
      <w:lvlJc w:val="left"/>
      <w:pPr>
        <w:ind w:left="371" w:hanging="360"/>
      </w:pPr>
      <w:rPr>
        <w:rFonts w:ascii="Courier New" w:hAnsi="Courier New" w:cs="Courier New" w:hint="default"/>
      </w:rPr>
    </w:lvl>
    <w:lvl w:ilvl="2" w:tplc="04090005">
      <w:start w:val="1"/>
      <w:numFmt w:val="bullet"/>
      <w:lvlText w:val=""/>
      <w:lvlJc w:val="left"/>
      <w:pPr>
        <w:ind w:left="1091" w:hanging="360"/>
      </w:pPr>
      <w:rPr>
        <w:rFonts w:ascii="Wingdings" w:hAnsi="Wingdings" w:hint="default"/>
      </w:rPr>
    </w:lvl>
    <w:lvl w:ilvl="3" w:tplc="04090001">
      <w:start w:val="1"/>
      <w:numFmt w:val="bullet"/>
      <w:lvlText w:val=""/>
      <w:lvlJc w:val="left"/>
      <w:pPr>
        <w:ind w:left="1811" w:hanging="360"/>
      </w:pPr>
      <w:rPr>
        <w:rFonts w:ascii="Symbol" w:hAnsi="Symbol" w:hint="default"/>
      </w:rPr>
    </w:lvl>
    <w:lvl w:ilvl="4" w:tplc="04090003">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40">
    <w:nsid w:val="6CBD5732"/>
    <w:multiLevelType w:val="hybridMultilevel"/>
    <w:tmpl w:val="A4B4FE62"/>
    <w:lvl w:ilvl="0" w:tplc="AA4243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287806"/>
    <w:multiLevelType w:val="hybridMultilevel"/>
    <w:tmpl w:val="BB4A939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DB4556E"/>
    <w:multiLevelType w:val="hybridMultilevel"/>
    <w:tmpl w:val="67185CAC"/>
    <w:lvl w:ilvl="0" w:tplc="FFBEAF4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6EB9739B"/>
    <w:multiLevelType w:val="multilevel"/>
    <w:tmpl w:val="8270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CA2BCE"/>
    <w:multiLevelType w:val="hybridMultilevel"/>
    <w:tmpl w:val="610442E8"/>
    <w:lvl w:ilvl="0" w:tplc="AC3AAEF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4AF3A2E"/>
    <w:multiLevelType w:val="hybridMultilevel"/>
    <w:tmpl w:val="4CE67BD8"/>
    <w:lvl w:ilvl="0" w:tplc="AA4243BC">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6">
    <w:nsid w:val="7FE0193C"/>
    <w:multiLevelType w:val="hybridMultilevel"/>
    <w:tmpl w:val="A39062BE"/>
    <w:lvl w:ilvl="0" w:tplc="F5D0EE1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6"/>
  </w:num>
  <w:num w:numId="3">
    <w:abstractNumId w:val="7"/>
  </w:num>
  <w:num w:numId="4">
    <w:abstractNumId w:val="28"/>
  </w:num>
  <w:num w:numId="5">
    <w:abstractNumId w:val="5"/>
  </w:num>
  <w:num w:numId="6">
    <w:abstractNumId w:val="35"/>
  </w:num>
  <w:num w:numId="7">
    <w:abstractNumId w:val="36"/>
  </w:num>
  <w:num w:numId="8">
    <w:abstractNumId w:val="21"/>
  </w:num>
  <w:num w:numId="9">
    <w:abstractNumId w:val="20"/>
  </w:num>
  <w:num w:numId="10">
    <w:abstractNumId w:val="1"/>
  </w:num>
  <w:num w:numId="11">
    <w:abstractNumId w:val="37"/>
  </w:num>
  <w:num w:numId="12">
    <w:abstractNumId w:val="12"/>
  </w:num>
  <w:num w:numId="13">
    <w:abstractNumId w:val="31"/>
  </w:num>
  <w:num w:numId="14">
    <w:abstractNumId w:val="13"/>
  </w:num>
  <w:num w:numId="15">
    <w:abstractNumId w:val="11"/>
  </w:num>
  <w:num w:numId="16">
    <w:abstractNumId w:val="46"/>
  </w:num>
  <w:num w:numId="17">
    <w:abstractNumId w:val="38"/>
  </w:num>
  <w:num w:numId="18">
    <w:abstractNumId w:val="27"/>
  </w:num>
  <w:num w:numId="19">
    <w:abstractNumId w:val="4"/>
  </w:num>
  <w:num w:numId="20">
    <w:abstractNumId w:val="23"/>
  </w:num>
  <w:num w:numId="21">
    <w:abstractNumId w:val="40"/>
  </w:num>
  <w:num w:numId="22">
    <w:abstractNumId w:val="44"/>
  </w:num>
  <w:num w:numId="23">
    <w:abstractNumId w:val="33"/>
  </w:num>
  <w:num w:numId="24">
    <w:abstractNumId w:val="26"/>
  </w:num>
  <w:num w:numId="25">
    <w:abstractNumId w:val="9"/>
  </w:num>
  <w:num w:numId="26">
    <w:abstractNumId w:val="8"/>
  </w:num>
  <w:num w:numId="27">
    <w:abstractNumId w:val="45"/>
  </w:num>
  <w:num w:numId="28">
    <w:abstractNumId w:val="22"/>
  </w:num>
  <w:num w:numId="29">
    <w:abstractNumId w:val="2"/>
  </w:num>
  <w:num w:numId="30">
    <w:abstractNumId w:val="42"/>
  </w:num>
  <w:num w:numId="31">
    <w:abstractNumId w:val="25"/>
  </w:num>
  <w:num w:numId="32">
    <w:abstractNumId w:val="34"/>
  </w:num>
  <w:num w:numId="33">
    <w:abstractNumId w:val="41"/>
  </w:num>
  <w:num w:numId="34">
    <w:abstractNumId w:val="10"/>
  </w:num>
  <w:num w:numId="35">
    <w:abstractNumId w:val="39"/>
  </w:num>
  <w:num w:numId="36">
    <w:abstractNumId w:val="17"/>
  </w:num>
  <w:num w:numId="37">
    <w:abstractNumId w:val="29"/>
  </w:num>
  <w:num w:numId="38">
    <w:abstractNumId w:val="3"/>
  </w:num>
  <w:num w:numId="39">
    <w:abstractNumId w:val="18"/>
  </w:num>
  <w:num w:numId="40">
    <w:abstractNumId w:val="14"/>
  </w:num>
  <w:num w:numId="41">
    <w:abstractNumId w:val="24"/>
  </w:num>
  <w:num w:numId="42">
    <w:abstractNumId w:val="30"/>
  </w:num>
  <w:num w:numId="43">
    <w:abstractNumId w:val="32"/>
  </w:num>
  <w:num w:numId="44">
    <w:abstractNumId w:val="19"/>
  </w:num>
  <w:num w:numId="45">
    <w:abstractNumId w:val="43"/>
  </w:num>
  <w:num w:numId="46">
    <w:abstractNumId w:val="15"/>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efaultTabStop w:val="720"/>
  <w:evenAndOddHeaders/>
  <w:drawingGridHorizontalSpacing w:val="110"/>
  <w:displayHorizontalDrawingGridEvery w:val="2"/>
  <w:characterSpacingControl w:val="doNotCompress"/>
  <w:savePreviewPicture/>
  <w:hdrShapeDefaults>
    <o:shapedefaults v:ext="edit" spidmax="30722">
      <o:colormenu v:ext="edit" fillcolor="none [1951]"/>
    </o:shapedefaults>
    <o:shapelayout v:ext="edit">
      <o:idmap v:ext="edit" data="3"/>
    </o:shapelayout>
  </w:hdrShapeDefaults>
  <w:footnotePr>
    <w:footnote w:id="0"/>
    <w:footnote w:id="1"/>
  </w:footnotePr>
  <w:endnotePr>
    <w:endnote w:id="0"/>
    <w:endnote w:id="1"/>
  </w:endnotePr>
  <w:compat/>
  <w:rsids>
    <w:rsidRoot w:val="00C85CDC"/>
    <w:rsid w:val="00006E09"/>
    <w:rsid w:val="000078AF"/>
    <w:rsid w:val="000246EB"/>
    <w:rsid w:val="000248AC"/>
    <w:rsid w:val="00032D2C"/>
    <w:rsid w:val="000333A9"/>
    <w:rsid w:val="000436FB"/>
    <w:rsid w:val="00050A05"/>
    <w:rsid w:val="000521C4"/>
    <w:rsid w:val="0005547F"/>
    <w:rsid w:val="000659AA"/>
    <w:rsid w:val="00066414"/>
    <w:rsid w:val="00073390"/>
    <w:rsid w:val="00076C29"/>
    <w:rsid w:val="0008073D"/>
    <w:rsid w:val="00080BA6"/>
    <w:rsid w:val="00082DCE"/>
    <w:rsid w:val="00083B66"/>
    <w:rsid w:val="000906D5"/>
    <w:rsid w:val="000910E7"/>
    <w:rsid w:val="00095038"/>
    <w:rsid w:val="000B50ED"/>
    <w:rsid w:val="000B5A16"/>
    <w:rsid w:val="000C11BF"/>
    <w:rsid w:val="000C622D"/>
    <w:rsid w:val="000D1D2C"/>
    <w:rsid w:val="000E5822"/>
    <w:rsid w:val="000E583A"/>
    <w:rsid w:val="000F24DE"/>
    <w:rsid w:val="000F38A5"/>
    <w:rsid w:val="00101299"/>
    <w:rsid w:val="00101F95"/>
    <w:rsid w:val="001025AB"/>
    <w:rsid w:val="001207E0"/>
    <w:rsid w:val="00120D57"/>
    <w:rsid w:val="00130D1A"/>
    <w:rsid w:val="00146C6F"/>
    <w:rsid w:val="00153BC2"/>
    <w:rsid w:val="00167045"/>
    <w:rsid w:val="00173022"/>
    <w:rsid w:val="0018486E"/>
    <w:rsid w:val="00195B3D"/>
    <w:rsid w:val="001A02CC"/>
    <w:rsid w:val="001A0AA3"/>
    <w:rsid w:val="001A6B29"/>
    <w:rsid w:val="001C2ECE"/>
    <w:rsid w:val="001C3663"/>
    <w:rsid w:val="001C424D"/>
    <w:rsid w:val="001D31F7"/>
    <w:rsid w:val="001D6FD5"/>
    <w:rsid w:val="001E07B6"/>
    <w:rsid w:val="001E4C5F"/>
    <w:rsid w:val="001F43FD"/>
    <w:rsid w:val="00207DED"/>
    <w:rsid w:val="002109F6"/>
    <w:rsid w:val="0021292E"/>
    <w:rsid w:val="002227D9"/>
    <w:rsid w:val="00222E59"/>
    <w:rsid w:val="00224F23"/>
    <w:rsid w:val="0024067D"/>
    <w:rsid w:val="00240D9E"/>
    <w:rsid w:val="00245FA0"/>
    <w:rsid w:val="002571D9"/>
    <w:rsid w:val="00274C25"/>
    <w:rsid w:val="002806F5"/>
    <w:rsid w:val="002A329D"/>
    <w:rsid w:val="002A61F6"/>
    <w:rsid w:val="002E33AE"/>
    <w:rsid w:val="002E686B"/>
    <w:rsid w:val="00306B9D"/>
    <w:rsid w:val="00315372"/>
    <w:rsid w:val="00321BCC"/>
    <w:rsid w:val="003506BE"/>
    <w:rsid w:val="00350953"/>
    <w:rsid w:val="0036366D"/>
    <w:rsid w:val="00373D3F"/>
    <w:rsid w:val="003749D2"/>
    <w:rsid w:val="00376106"/>
    <w:rsid w:val="00384ACE"/>
    <w:rsid w:val="00395352"/>
    <w:rsid w:val="00395E93"/>
    <w:rsid w:val="003B7C71"/>
    <w:rsid w:val="003C0684"/>
    <w:rsid w:val="003D08CE"/>
    <w:rsid w:val="003F2334"/>
    <w:rsid w:val="003F6EFB"/>
    <w:rsid w:val="00403E61"/>
    <w:rsid w:val="00435AC1"/>
    <w:rsid w:val="004416A0"/>
    <w:rsid w:val="004438E0"/>
    <w:rsid w:val="00463A0C"/>
    <w:rsid w:val="00464963"/>
    <w:rsid w:val="004810C3"/>
    <w:rsid w:val="00483112"/>
    <w:rsid w:val="0049381F"/>
    <w:rsid w:val="0049412F"/>
    <w:rsid w:val="004A671D"/>
    <w:rsid w:val="004B275E"/>
    <w:rsid w:val="004C04F3"/>
    <w:rsid w:val="004C06E8"/>
    <w:rsid w:val="004D49ED"/>
    <w:rsid w:val="004F651A"/>
    <w:rsid w:val="00503B12"/>
    <w:rsid w:val="00526519"/>
    <w:rsid w:val="0053017C"/>
    <w:rsid w:val="005364F8"/>
    <w:rsid w:val="00545EA6"/>
    <w:rsid w:val="00547E6E"/>
    <w:rsid w:val="005561E2"/>
    <w:rsid w:val="00557F0A"/>
    <w:rsid w:val="0056776D"/>
    <w:rsid w:val="00594C18"/>
    <w:rsid w:val="00594D8C"/>
    <w:rsid w:val="005B0F9A"/>
    <w:rsid w:val="005C50E5"/>
    <w:rsid w:val="005C6DF3"/>
    <w:rsid w:val="005D156D"/>
    <w:rsid w:val="005D590D"/>
    <w:rsid w:val="005E2133"/>
    <w:rsid w:val="005E2865"/>
    <w:rsid w:val="005F7E36"/>
    <w:rsid w:val="00601C89"/>
    <w:rsid w:val="00604B9F"/>
    <w:rsid w:val="006129DC"/>
    <w:rsid w:val="006308A6"/>
    <w:rsid w:val="00654052"/>
    <w:rsid w:val="00686704"/>
    <w:rsid w:val="00692BA0"/>
    <w:rsid w:val="006A7C02"/>
    <w:rsid w:val="006B3281"/>
    <w:rsid w:val="006B6930"/>
    <w:rsid w:val="006C4A3B"/>
    <w:rsid w:val="006C7861"/>
    <w:rsid w:val="006E605A"/>
    <w:rsid w:val="006E7499"/>
    <w:rsid w:val="006E756E"/>
    <w:rsid w:val="006F2E35"/>
    <w:rsid w:val="006F5C56"/>
    <w:rsid w:val="006F6C10"/>
    <w:rsid w:val="007007BC"/>
    <w:rsid w:val="00703957"/>
    <w:rsid w:val="00707D1D"/>
    <w:rsid w:val="007100F8"/>
    <w:rsid w:val="00725024"/>
    <w:rsid w:val="007279D8"/>
    <w:rsid w:val="00736C9E"/>
    <w:rsid w:val="00742F45"/>
    <w:rsid w:val="00766237"/>
    <w:rsid w:val="00775C12"/>
    <w:rsid w:val="007770EE"/>
    <w:rsid w:val="007776BF"/>
    <w:rsid w:val="00783DF8"/>
    <w:rsid w:val="00791399"/>
    <w:rsid w:val="00795E9B"/>
    <w:rsid w:val="007B633B"/>
    <w:rsid w:val="007C09D2"/>
    <w:rsid w:val="007C0D17"/>
    <w:rsid w:val="007D7B24"/>
    <w:rsid w:val="007E40B3"/>
    <w:rsid w:val="007E442D"/>
    <w:rsid w:val="007E796F"/>
    <w:rsid w:val="007F0583"/>
    <w:rsid w:val="007F29CD"/>
    <w:rsid w:val="007F39A9"/>
    <w:rsid w:val="00800FFC"/>
    <w:rsid w:val="008063BD"/>
    <w:rsid w:val="00812817"/>
    <w:rsid w:val="008168A7"/>
    <w:rsid w:val="00816A28"/>
    <w:rsid w:val="00822223"/>
    <w:rsid w:val="00824F2E"/>
    <w:rsid w:val="00827069"/>
    <w:rsid w:val="00827CA9"/>
    <w:rsid w:val="00833954"/>
    <w:rsid w:val="00841B20"/>
    <w:rsid w:val="0085601C"/>
    <w:rsid w:val="00860A68"/>
    <w:rsid w:val="00862517"/>
    <w:rsid w:val="0086276B"/>
    <w:rsid w:val="00873F05"/>
    <w:rsid w:val="00876C11"/>
    <w:rsid w:val="0088443D"/>
    <w:rsid w:val="00890CD6"/>
    <w:rsid w:val="008914E8"/>
    <w:rsid w:val="008927B5"/>
    <w:rsid w:val="00893395"/>
    <w:rsid w:val="00893D22"/>
    <w:rsid w:val="00895A3E"/>
    <w:rsid w:val="00896EB5"/>
    <w:rsid w:val="008A46EA"/>
    <w:rsid w:val="008B3AC1"/>
    <w:rsid w:val="008B7490"/>
    <w:rsid w:val="008D69B0"/>
    <w:rsid w:val="008E1B7E"/>
    <w:rsid w:val="008F2456"/>
    <w:rsid w:val="008F3F22"/>
    <w:rsid w:val="00907708"/>
    <w:rsid w:val="00907A41"/>
    <w:rsid w:val="00911200"/>
    <w:rsid w:val="009174B1"/>
    <w:rsid w:val="009214BF"/>
    <w:rsid w:val="009218D4"/>
    <w:rsid w:val="00923D36"/>
    <w:rsid w:val="00926066"/>
    <w:rsid w:val="009277D4"/>
    <w:rsid w:val="00933E6D"/>
    <w:rsid w:val="00937E6B"/>
    <w:rsid w:val="0094028B"/>
    <w:rsid w:val="0094137E"/>
    <w:rsid w:val="0095102C"/>
    <w:rsid w:val="00956E16"/>
    <w:rsid w:val="0096322F"/>
    <w:rsid w:val="009732B9"/>
    <w:rsid w:val="0098324E"/>
    <w:rsid w:val="00990392"/>
    <w:rsid w:val="00994989"/>
    <w:rsid w:val="009A2125"/>
    <w:rsid w:val="009B142E"/>
    <w:rsid w:val="009C1C65"/>
    <w:rsid w:val="009C2607"/>
    <w:rsid w:val="009D1515"/>
    <w:rsid w:val="009E6E8F"/>
    <w:rsid w:val="009F5525"/>
    <w:rsid w:val="009F7F01"/>
    <w:rsid w:val="00A00900"/>
    <w:rsid w:val="00A01524"/>
    <w:rsid w:val="00A23E8F"/>
    <w:rsid w:val="00A279B1"/>
    <w:rsid w:val="00A30480"/>
    <w:rsid w:val="00A31C56"/>
    <w:rsid w:val="00A421CF"/>
    <w:rsid w:val="00A456F9"/>
    <w:rsid w:val="00A5159E"/>
    <w:rsid w:val="00A52D4F"/>
    <w:rsid w:val="00A70E77"/>
    <w:rsid w:val="00A90AAD"/>
    <w:rsid w:val="00A94C62"/>
    <w:rsid w:val="00A94DAB"/>
    <w:rsid w:val="00AA17AA"/>
    <w:rsid w:val="00AC44BC"/>
    <w:rsid w:val="00AC4E1D"/>
    <w:rsid w:val="00AC60A7"/>
    <w:rsid w:val="00AD1189"/>
    <w:rsid w:val="00AD4ADC"/>
    <w:rsid w:val="00AD6ADA"/>
    <w:rsid w:val="00AD7B30"/>
    <w:rsid w:val="00AE2A2B"/>
    <w:rsid w:val="00AF5ADD"/>
    <w:rsid w:val="00AF7C89"/>
    <w:rsid w:val="00B10184"/>
    <w:rsid w:val="00B10F7A"/>
    <w:rsid w:val="00B43FB7"/>
    <w:rsid w:val="00B44E44"/>
    <w:rsid w:val="00B44FD0"/>
    <w:rsid w:val="00B62FE4"/>
    <w:rsid w:val="00B64DE6"/>
    <w:rsid w:val="00B668A3"/>
    <w:rsid w:val="00B7514B"/>
    <w:rsid w:val="00B75658"/>
    <w:rsid w:val="00B9296C"/>
    <w:rsid w:val="00B938F3"/>
    <w:rsid w:val="00B95647"/>
    <w:rsid w:val="00B965DB"/>
    <w:rsid w:val="00B9789A"/>
    <w:rsid w:val="00BA2291"/>
    <w:rsid w:val="00BA7424"/>
    <w:rsid w:val="00BB365B"/>
    <w:rsid w:val="00BB46E9"/>
    <w:rsid w:val="00BB7F91"/>
    <w:rsid w:val="00BC6E35"/>
    <w:rsid w:val="00BE3256"/>
    <w:rsid w:val="00BF0AE9"/>
    <w:rsid w:val="00C10D1D"/>
    <w:rsid w:val="00C17BCD"/>
    <w:rsid w:val="00C17F13"/>
    <w:rsid w:val="00C2216F"/>
    <w:rsid w:val="00C40153"/>
    <w:rsid w:val="00C411DE"/>
    <w:rsid w:val="00C63033"/>
    <w:rsid w:val="00C8024C"/>
    <w:rsid w:val="00C828B9"/>
    <w:rsid w:val="00C85CC0"/>
    <w:rsid w:val="00C85CDC"/>
    <w:rsid w:val="00C90BB7"/>
    <w:rsid w:val="00CA5E17"/>
    <w:rsid w:val="00CA710E"/>
    <w:rsid w:val="00CC013B"/>
    <w:rsid w:val="00CC1385"/>
    <w:rsid w:val="00CC4805"/>
    <w:rsid w:val="00CC79E7"/>
    <w:rsid w:val="00CE027C"/>
    <w:rsid w:val="00D047FC"/>
    <w:rsid w:val="00D05C87"/>
    <w:rsid w:val="00D104F7"/>
    <w:rsid w:val="00D1392C"/>
    <w:rsid w:val="00D14240"/>
    <w:rsid w:val="00D15E4D"/>
    <w:rsid w:val="00D17A53"/>
    <w:rsid w:val="00D17BED"/>
    <w:rsid w:val="00D3269A"/>
    <w:rsid w:val="00D37348"/>
    <w:rsid w:val="00D4225F"/>
    <w:rsid w:val="00D43902"/>
    <w:rsid w:val="00D452C7"/>
    <w:rsid w:val="00D54CA0"/>
    <w:rsid w:val="00D7168E"/>
    <w:rsid w:val="00D745B1"/>
    <w:rsid w:val="00D8745F"/>
    <w:rsid w:val="00D90980"/>
    <w:rsid w:val="00D95F9B"/>
    <w:rsid w:val="00DB12C2"/>
    <w:rsid w:val="00DB25E1"/>
    <w:rsid w:val="00DB3FFD"/>
    <w:rsid w:val="00DB4CB3"/>
    <w:rsid w:val="00DC7850"/>
    <w:rsid w:val="00DD1A41"/>
    <w:rsid w:val="00DE095A"/>
    <w:rsid w:val="00DE1F44"/>
    <w:rsid w:val="00DE29E0"/>
    <w:rsid w:val="00DE6392"/>
    <w:rsid w:val="00DF43E1"/>
    <w:rsid w:val="00DF63A3"/>
    <w:rsid w:val="00E02D4A"/>
    <w:rsid w:val="00E045F7"/>
    <w:rsid w:val="00E04617"/>
    <w:rsid w:val="00E13F6D"/>
    <w:rsid w:val="00E21521"/>
    <w:rsid w:val="00E30420"/>
    <w:rsid w:val="00E34F58"/>
    <w:rsid w:val="00E40B70"/>
    <w:rsid w:val="00E40C49"/>
    <w:rsid w:val="00E42C76"/>
    <w:rsid w:val="00E43D41"/>
    <w:rsid w:val="00E57B1F"/>
    <w:rsid w:val="00E6335E"/>
    <w:rsid w:val="00E84AE3"/>
    <w:rsid w:val="00EA3014"/>
    <w:rsid w:val="00EB69C8"/>
    <w:rsid w:val="00EC24E3"/>
    <w:rsid w:val="00EC320B"/>
    <w:rsid w:val="00EC719C"/>
    <w:rsid w:val="00ED1F0C"/>
    <w:rsid w:val="00ED3DD6"/>
    <w:rsid w:val="00EF0B26"/>
    <w:rsid w:val="00EF5E7C"/>
    <w:rsid w:val="00F0244A"/>
    <w:rsid w:val="00F02EF3"/>
    <w:rsid w:val="00F1186E"/>
    <w:rsid w:val="00F11FAA"/>
    <w:rsid w:val="00F1367D"/>
    <w:rsid w:val="00F150D3"/>
    <w:rsid w:val="00F16A6F"/>
    <w:rsid w:val="00F20CFB"/>
    <w:rsid w:val="00F26C92"/>
    <w:rsid w:val="00F36136"/>
    <w:rsid w:val="00F44DAB"/>
    <w:rsid w:val="00F553CD"/>
    <w:rsid w:val="00F568FE"/>
    <w:rsid w:val="00F63388"/>
    <w:rsid w:val="00F64DA3"/>
    <w:rsid w:val="00F92A71"/>
    <w:rsid w:val="00F94C51"/>
    <w:rsid w:val="00F96701"/>
    <w:rsid w:val="00FA062C"/>
    <w:rsid w:val="00FA0F77"/>
    <w:rsid w:val="00FA4302"/>
    <w:rsid w:val="00FA6E7D"/>
    <w:rsid w:val="00FB56BB"/>
    <w:rsid w:val="00FB7DD2"/>
    <w:rsid w:val="00FC056C"/>
    <w:rsid w:val="00FC515D"/>
    <w:rsid w:val="00FC5D8B"/>
    <w:rsid w:val="00FD096B"/>
    <w:rsid w:val="00FD0BE4"/>
    <w:rsid w:val="00FE6E1C"/>
    <w:rsid w:val="00FE7BAE"/>
    <w:rsid w:val="00FF2709"/>
    <w:rsid w:val="00FF5E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9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المجلة"/>
    <w:basedOn w:val="a1"/>
    <w:uiPriority w:val="99"/>
    <w:rsid w:val="007F39A9"/>
    <w:pPr>
      <w:spacing w:after="0" w:line="240" w:lineRule="auto"/>
    </w:pPr>
    <w:rPr>
      <w:rFonts w:ascii="Times New Roman" w:eastAsia="Times New Roman" w:hAnsi="Times New Roman"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4">
    <w:name w:val="header"/>
    <w:basedOn w:val="a"/>
    <w:link w:val="Char"/>
    <w:uiPriority w:val="99"/>
    <w:unhideWhenUsed/>
    <w:rsid w:val="00C85CDC"/>
    <w:pPr>
      <w:tabs>
        <w:tab w:val="center" w:pos="4320"/>
        <w:tab w:val="right" w:pos="8640"/>
      </w:tabs>
      <w:spacing w:after="0" w:line="240" w:lineRule="auto"/>
    </w:pPr>
  </w:style>
  <w:style w:type="character" w:customStyle="1" w:styleId="Char">
    <w:name w:val="رأس صفحة Char"/>
    <w:basedOn w:val="a0"/>
    <w:link w:val="a4"/>
    <w:uiPriority w:val="99"/>
    <w:rsid w:val="00C85CDC"/>
  </w:style>
  <w:style w:type="paragraph" w:styleId="a5">
    <w:name w:val="footer"/>
    <w:basedOn w:val="a"/>
    <w:link w:val="Char0"/>
    <w:uiPriority w:val="99"/>
    <w:semiHidden/>
    <w:unhideWhenUsed/>
    <w:rsid w:val="00C85CDC"/>
    <w:pPr>
      <w:tabs>
        <w:tab w:val="center" w:pos="4320"/>
        <w:tab w:val="right" w:pos="8640"/>
      </w:tabs>
      <w:spacing w:after="0" w:line="240" w:lineRule="auto"/>
    </w:pPr>
  </w:style>
  <w:style w:type="character" w:customStyle="1" w:styleId="Char0">
    <w:name w:val="تذييل صفحة Char"/>
    <w:basedOn w:val="a0"/>
    <w:link w:val="a5"/>
    <w:uiPriority w:val="99"/>
    <w:semiHidden/>
    <w:rsid w:val="00C85CDC"/>
  </w:style>
  <w:style w:type="paragraph" w:styleId="a6">
    <w:name w:val="List Paragraph"/>
    <w:basedOn w:val="a"/>
    <w:uiPriority w:val="34"/>
    <w:qFormat/>
    <w:rsid w:val="00822223"/>
    <w:pPr>
      <w:ind w:left="720"/>
      <w:contextualSpacing/>
    </w:pPr>
  </w:style>
  <w:style w:type="table" w:styleId="a7">
    <w:name w:val="Table Grid"/>
    <w:basedOn w:val="a1"/>
    <w:uiPriority w:val="59"/>
    <w:rsid w:val="00D45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5D590D"/>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5D5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B6A32-9005-4367-B400-863CB4AD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1715</Words>
  <Characters>9782</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زهراء</Company>
  <LinksUpToDate>false</LinksUpToDate>
  <CharactersWithSpaces>11475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أحمد</dc:creator>
  <cp:lastModifiedBy>أحمد</cp:lastModifiedBy>
  <cp:revision>7</cp:revision>
  <cp:lastPrinted>2008-08-14T22:09:00Z</cp:lastPrinted>
  <dcterms:created xsi:type="dcterms:W3CDTF">2008-10-16T01:19:00Z</dcterms:created>
  <dcterms:modified xsi:type="dcterms:W3CDTF">2008-10-20T00:53:00Z</dcterms:modified>
</cp:coreProperties>
</file>